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84B" w:rsidRDefault="000C084B">
      <w:pPr>
        <w:autoSpaceDE w:val="0"/>
        <w:autoSpaceDN w:val="0"/>
        <w:adjustRightInd w:val="0"/>
        <w:jc w:val="center"/>
        <w:rPr>
          <w:rFonts w:ascii="楷体_GB2312" w:eastAsia="楷体_GB2312" w:cs="宋体"/>
          <w:kern w:val="0"/>
          <w:sz w:val="24"/>
        </w:rPr>
      </w:pPr>
    </w:p>
    <w:p w:rsidR="000C084B" w:rsidRDefault="009910C4">
      <w:pPr>
        <w:ind w:right="420"/>
        <w:jc w:val="right"/>
        <w:rPr>
          <w:rFonts w:ascii="楷体_GB2312" w:eastAsia="楷体_GB2312" w:hAnsi="Arial" w:cs="Arial"/>
          <w:kern w:val="0"/>
          <w:sz w:val="24"/>
        </w:rPr>
      </w:pPr>
      <w:r>
        <w:rPr>
          <w:rFonts w:ascii="楷体_GB2312" w:eastAsia="楷体_GB2312" w:hint="eastAsia"/>
          <w:kern w:val="0"/>
          <w:sz w:val="24"/>
        </w:rPr>
        <w:t>协议编号：</w:t>
      </w:r>
      <w:r>
        <w:rPr>
          <w:rFonts w:ascii="楷体_GB2312" w:eastAsia="楷体_GB2312" w:hint="eastAsia"/>
          <w:kern w:val="0"/>
          <w:sz w:val="24"/>
        </w:rPr>
        <w:t>2022-02-001</w:t>
      </w:r>
      <w:r>
        <w:rPr>
          <w:rFonts w:ascii="楷体_GB2312" w:eastAsia="楷体_GB2312" w:hint="eastAsia"/>
          <w:kern w:val="0"/>
          <w:sz w:val="24"/>
        </w:rPr>
        <w:t>号</w:t>
      </w:r>
    </w:p>
    <w:p w:rsidR="000C084B" w:rsidRDefault="009910C4">
      <w:pPr>
        <w:spacing w:beforeLines="50" w:before="156" w:line="60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中邮理财净值型理财产品托管协议</w:t>
      </w:r>
    </w:p>
    <w:p w:rsidR="000C084B" w:rsidRDefault="009910C4">
      <w:pPr>
        <w:spacing w:beforeLines="50" w:before="156" w:line="60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之补充协议一</w:t>
      </w:r>
    </w:p>
    <w:p w:rsidR="000C084B" w:rsidRDefault="000C084B">
      <w:pPr>
        <w:autoSpaceDE w:val="0"/>
        <w:autoSpaceDN w:val="0"/>
        <w:adjustRightInd w:val="0"/>
        <w:spacing w:line="400" w:lineRule="exact"/>
        <w:ind w:firstLineChars="200" w:firstLine="480"/>
        <w:rPr>
          <w:rFonts w:ascii="楷体_GB2312" w:eastAsia="楷体_GB2312" w:hAnsi="宋体" w:cs="宋体"/>
          <w:kern w:val="0"/>
          <w:sz w:val="24"/>
        </w:rPr>
      </w:pP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管理人：中邮理财有限责任公司</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托管人：中国建设银行股份有限公司北京市分行</w:t>
      </w:r>
    </w:p>
    <w:p w:rsidR="000C084B" w:rsidRDefault="000C084B">
      <w:pPr>
        <w:autoSpaceDE w:val="0"/>
        <w:autoSpaceDN w:val="0"/>
        <w:adjustRightInd w:val="0"/>
        <w:spacing w:line="400" w:lineRule="exact"/>
        <w:ind w:firstLineChars="200" w:firstLine="480"/>
        <w:rPr>
          <w:rFonts w:ascii="楷体_GB2312" w:eastAsia="楷体_GB2312" w:hAnsi="宋体" w:cs="宋体"/>
          <w:kern w:val="0"/>
          <w:sz w:val="24"/>
        </w:rPr>
      </w:pP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鉴于：</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双方当事人于</w:t>
      </w:r>
      <w:r>
        <w:rPr>
          <w:rFonts w:ascii="楷体_GB2312" w:eastAsia="楷体_GB2312" w:hAnsi="宋体" w:cs="宋体" w:hint="eastAsia"/>
          <w:kern w:val="0"/>
          <w:sz w:val="24"/>
        </w:rPr>
        <w:t>2022</w:t>
      </w:r>
      <w:r>
        <w:rPr>
          <w:rFonts w:ascii="楷体_GB2312" w:eastAsia="楷体_GB2312" w:hAnsi="宋体" w:cs="宋体" w:hint="eastAsia"/>
          <w:kern w:val="0"/>
          <w:sz w:val="24"/>
        </w:rPr>
        <w:t>年</w:t>
      </w:r>
      <w:r>
        <w:rPr>
          <w:rFonts w:ascii="楷体_GB2312" w:eastAsia="楷体_GB2312" w:hAnsi="宋体" w:cs="宋体" w:hint="eastAsia"/>
          <w:kern w:val="0"/>
          <w:sz w:val="24"/>
        </w:rPr>
        <w:t>12</w:t>
      </w:r>
      <w:r>
        <w:rPr>
          <w:rFonts w:ascii="楷体_GB2312" w:eastAsia="楷体_GB2312" w:hAnsi="宋体" w:cs="宋体" w:hint="eastAsia"/>
          <w:kern w:val="0"/>
          <w:sz w:val="24"/>
        </w:rPr>
        <w:t>月签署了编号为：</w:t>
      </w:r>
      <w:r>
        <w:rPr>
          <w:rFonts w:ascii="楷体_GB2312" w:eastAsia="楷体_GB2312" w:hAnsi="宋体" w:cs="宋体" w:hint="eastAsia"/>
          <w:kern w:val="0"/>
          <w:sz w:val="24"/>
        </w:rPr>
        <w:t>2022-02</w:t>
      </w:r>
      <w:r>
        <w:rPr>
          <w:rFonts w:ascii="楷体_GB2312" w:eastAsia="楷体_GB2312" w:hAnsi="宋体" w:cs="宋体" w:hint="eastAsia"/>
          <w:kern w:val="0"/>
          <w:sz w:val="24"/>
        </w:rPr>
        <w:t>号的《中邮理财净值型理财产品托管协议》（以下简称“原协议”）。根据原协议之约定，经双方当事人协商一致，就相关变更事项订立本补充协议，以资共同遵守。</w:t>
      </w:r>
    </w:p>
    <w:p w:rsidR="000C084B" w:rsidRDefault="009910C4">
      <w:pPr>
        <w:autoSpaceDE w:val="0"/>
        <w:autoSpaceDN w:val="0"/>
        <w:adjustRightInd w:val="0"/>
        <w:spacing w:line="400" w:lineRule="exact"/>
        <w:ind w:firstLineChars="200" w:firstLine="482"/>
        <w:rPr>
          <w:rFonts w:ascii="楷体_GB2312" w:eastAsia="楷体_GB2312" w:hAnsi="宋体" w:cs="宋体"/>
          <w:b/>
          <w:bCs/>
          <w:kern w:val="0"/>
          <w:sz w:val="24"/>
        </w:rPr>
      </w:pPr>
      <w:r>
        <w:rPr>
          <w:rFonts w:ascii="楷体_GB2312" w:eastAsia="楷体_GB2312" w:hAnsi="宋体" w:cs="宋体" w:hint="eastAsia"/>
          <w:b/>
          <w:bCs/>
          <w:kern w:val="0"/>
          <w:sz w:val="24"/>
        </w:rPr>
        <w:t>一、原协议第十一章第（一）节中“估值时间”部分增加：</w:t>
      </w:r>
    </w:p>
    <w:p w:rsidR="000C084B" w:rsidRDefault="009910C4">
      <w:pPr>
        <w:autoSpaceDE w:val="0"/>
        <w:autoSpaceDN w:val="0"/>
        <w:adjustRightInd w:val="0"/>
        <w:spacing w:line="400" w:lineRule="exact"/>
        <w:ind w:firstLineChars="200" w:firstLine="480"/>
        <w:rPr>
          <w:rFonts w:ascii="楷体_GB2312" w:eastAsia="楷体_GB2312" w:cs="宋体"/>
          <w:kern w:val="0"/>
          <w:sz w:val="24"/>
        </w:rPr>
      </w:pPr>
      <w:r>
        <w:rPr>
          <w:rFonts w:ascii="楷体_GB2312" w:eastAsia="楷体_GB2312" w:cs="宋体" w:hint="eastAsia"/>
          <w:kern w:val="0"/>
          <w:sz w:val="24"/>
        </w:rPr>
        <w:t>管理人和托管人应每工作日对本协议项下现金管理类理财产品资产估值，但管理人根据法律法规规定暂停估值时除外。估值原则应符合法律法规的规定。</w:t>
      </w:r>
    </w:p>
    <w:p w:rsidR="000C084B" w:rsidRDefault="009910C4">
      <w:pPr>
        <w:autoSpaceDE w:val="0"/>
        <w:autoSpaceDN w:val="0"/>
        <w:adjustRightInd w:val="0"/>
        <w:spacing w:line="400" w:lineRule="exact"/>
        <w:ind w:firstLineChars="200" w:firstLine="480"/>
        <w:rPr>
          <w:rFonts w:ascii="楷体_GB2312" w:eastAsia="楷体_GB2312" w:cs="宋体"/>
          <w:kern w:val="0"/>
          <w:sz w:val="24"/>
        </w:rPr>
      </w:pPr>
      <w:r>
        <w:rPr>
          <w:rFonts w:ascii="楷体_GB2312" w:eastAsia="楷体_GB2312" w:cs="宋体" w:hint="eastAsia"/>
          <w:kern w:val="0"/>
          <w:sz w:val="24"/>
        </w:rPr>
        <w:t>现金管理类理财产品净值是指资产总值减去负债后的净资产值。每万份已实现收益是按照相关法规计算的每万份理财份额的已实现收益，精确到小数点后第</w:t>
      </w:r>
      <w:r>
        <w:rPr>
          <w:rFonts w:ascii="楷体_GB2312" w:eastAsia="楷体_GB2312" w:cs="宋体" w:hint="eastAsia"/>
          <w:kern w:val="0"/>
          <w:sz w:val="24"/>
        </w:rPr>
        <w:t>4</w:t>
      </w:r>
      <w:r>
        <w:rPr>
          <w:rFonts w:ascii="楷体_GB2312" w:eastAsia="楷体_GB2312" w:cs="宋体" w:hint="eastAsia"/>
          <w:kern w:val="0"/>
          <w:sz w:val="24"/>
        </w:rPr>
        <w:t>位，小数点后第</w:t>
      </w:r>
      <w:r>
        <w:rPr>
          <w:rFonts w:ascii="楷体_GB2312" w:eastAsia="楷体_GB2312" w:cs="宋体" w:hint="eastAsia"/>
          <w:kern w:val="0"/>
          <w:sz w:val="24"/>
        </w:rPr>
        <w:t>5</w:t>
      </w:r>
      <w:r>
        <w:rPr>
          <w:rFonts w:ascii="楷体_GB2312" w:eastAsia="楷体_GB2312" w:cs="宋体" w:hint="eastAsia"/>
          <w:kern w:val="0"/>
          <w:sz w:val="24"/>
        </w:rPr>
        <w:t>位四舍五入。</w:t>
      </w:r>
      <w:proofErr w:type="gramStart"/>
      <w:r>
        <w:rPr>
          <w:rFonts w:ascii="楷体_GB2312" w:eastAsia="楷体_GB2312" w:cs="宋体" w:hint="eastAsia"/>
          <w:kern w:val="0"/>
          <w:sz w:val="24"/>
        </w:rPr>
        <w:t>七日年化收益率</w:t>
      </w:r>
      <w:proofErr w:type="gramEnd"/>
      <w:r>
        <w:rPr>
          <w:rFonts w:ascii="楷体_GB2312" w:eastAsia="楷体_GB2312" w:cs="宋体" w:hint="eastAsia"/>
          <w:kern w:val="0"/>
          <w:sz w:val="24"/>
        </w:rPr>
        <w:t>是以最近</w:t>
      </w:r>
      <w:r>
        <w:rPr>
          <w:rFonts w:ascii="楷体_GB2312" w:eastAsia="楷体_GB2312" w:cs="宋体" w:hint="eastAsia"/>
          <w:kern w:val="0"/>
          <w:sz w:val="24"/>
        </w:rPr>
        <w:t>7</w:t>
      </w:r>
      <w:r>
        <w:rPr>
          <w:rFonts w:ascii="楷体_GB2312" w:eastAsia="楷体_GB2312" w:cs="宋体" w:hint="eastAsia"/>
          <w:kern w:val="0"/>
          <w:sz w:val="24"/>
        </w:rPr>
        <w:t>个自然日（含节假日）每万份已实现收益所折算的</w:t>
      </w:r>
      <w:proofErr w:type="gramStart"/>
      <w:r>
        <w:rPr>
          <w:rFonts w:ascii="楷体_GB2312" w:eastAsia="楷体_GB2312" w:cs="宋体" w:hint="eastAsia"/>
          <w:kern w:val="0"/>
          <w:sz w:val="24"/>
        </w:rPr>
        <w:t>年资产</w:t>
      </w:r>
      <w:proofErr w:type="gramEnd"/>
      <w:r>
        <w:rPr>
          <w:rFonts w:ascii="楷体_GB2312" w:eastAsia="楷体_GB2312" w:cs="宋体" w:hint="eastAsia"/>
          <w:kern w:val="0"/>
          <w:sz w:val="24"/>
        </w:rPr>
        <w:t>收益率，精确到百分号内小数点后</w:t>
      </w:r>
      <w:r>
        <w:rPr>
          <w:rFonts w:ascii="楷体_GB2312" w:eastAsia="楷体_GB2312" w:cs="宋体" w:hint="eastAsia"/>
          <w:kern w:val="0"/>
          <w:sz w:val="24"/>
        </w:rPr>
        <w:t>4</w:t>
      </w:r>
      <w:r>
        <w:rPr>
          <w:rFonts w:ascii="楷体_GB2312" w:eastAsia="楷体_GB2312" w:cs="宋体" w:hint="eastAsia"/>
          <w:kern w:val="0"/>
          <w:sz w:val="24"/>
        </w:rPr>
        <w:t>位，百分号内小数点后第</w:t>
      </w:r>
      <w:r>
        <w:rPr>
          <w:rFonts w:ascii="楷体_GB2312" w:eastAsia="楷体_GB2312" w:cs="宋体" w:hint="eastAsia"/>
          <w:kern w:val="0"/>
          <w:sz w:val="24"/>
        </w:rPr>
        <w:t>5</w:t>
      </w:r>
      <w:r>
        <w:rPr>
          <w:rFonts w:ascii="楷体_GB2312" w:eastAsia="楷体_GB2312" w:cs="宋体" w:hint="eastAsia"/>
          <w:kern w:val="0"/>
          <w:sz w:val="24"/>
        </w:rPr>
        <w:t>位四舍五入。如遇巨额赎回等特殊情况，经管理人和托管人协商一致，可调整理财产品每万</w:t>
      </w:r>
      <w:r>
        <w:rPr>
          <w:rFonts w:ascii="楷体_GB2312" w:eastAsia="楷体_GB2312" w:cs="宋体" w:hint="eastAsia"/>
          <w:kern w:val="0"/>
          <w:sz w:val="24"/>
        </w:rPr>
        <w:t>份已实现收益计算精度。国家另有规定的，从其规定。</w:t>
      </w:r>
    </w:p>
    <w:p w:rsidR="000C084B" w:rsidRDefault="009910C4">
      <w:pPr>
        <w:autoSpaceDE w:val="0"/>
        <w:autoSpaceDN w:val="0"/>
        <w:adjustRightInd w:val="0"/>
        <w:spacing w:line="400" w:lineRule="exact"/>
        <w:ind w:firstLineChars="200" w:firstLine="480"/>
        <w:rPr>
          <w:rFonts w:ascii="楷体_GB2312" w:eastAsia="楷体_GB2312" w:cs="宋体"/>
          <w:kern w:val="0"/>
          <w:sz w:val="24"/>
        </w:rPr>
      </w:pPr>
      <w:r>
        <w:rPr>
          <w:rFonts w:ascii="楷体_GB2312" w:eastAsia="楷体_GB2312" w:cs="宋体" w:hint="eastAsia"/>
          <w:kern w:val="0"/>
          <w:sz w:val="24"/>
        </w:rPr>
        <w:t>实现的产品净收益（或净损失）以红利再投形式分配给理财产品持有人，并按日结转到理财产品持有人的账户，使产品单位净值及产品累计单位净值保持</w:t>
      </w:r>
      <w:r>
        <w:rPr>
          <w:rFonts w:ascii="楷体_GB2312" w:eastAsia="楷体_GB2312" w:cs="宋体" w:hint="eastAsia"/>
          <w:kern w:val="0"/>
          <w:sz w:val="24"/>
        </w:rPr>
        <w:t>1</w:t>
      </w:r>
      <w:r>
        <w:rPr>
          <w:rFonts w:ascii="楷体_GB2312" w:eastAsia="楷体_GB2312" w:cs="宋体" w:hint="eastAsia"/>
          <w:kern w:val="0"/>
          <w:sz w:val="24"/>
        </w:rPr>
        <w:t>元。</w:t>
      </w:r>
    </w:p>
    <w:p w:rsidR="000C084B" w:rsidRDefault="009910C4">
      <w:pPr>
        <w:autoSpaceDE w:val="0"/>
        <w:autoSpaceDN w:val="0"/>
        <w:adjustRightInd w:val="0"/>
        <w:spacing w:line="400" w:lineRule="exact"/>
        <w:ind w:firstLineChars="200" w:firstLine="482"/>
        <w:rPr>
          <w:rFonts w:ascii="楷体_GB2312" w:eastAsia="楷体_GB2312" w:hAnsi="宋体" w:cs="宋体"/>
          <w:b/>
          <w:bCs/>
          <w:kern w:val="0"/>
          <w:sz w:val="24"/>
        </w:rPr>
      </w:pPr>
      <w:r>
        <w:rPr>
          <w:rFonts w:ascii="楷体_GB2312" w:eastAsia="楷体_GB2312" w:hAnsi="宋体" w:cs="宋体" w:hint="eastAsia"/>
          <w:b/>
          <w:bCs/>
          <w:kern w:val="0"/>
          <w:sz w:val="24"/>
        </w:rPr>
        <w:t>二、原协议第十一章第（一）节中“估值方法”部分增加：</w:t>
      </w:r>
    </w:p>
    <w:p w:rsidR="000C084B" w:rsidRDefault="009910C4">
      <w:pPr>
        <w:spacing w:line="400" w:lineRule="exact"/>
        <w:ind w:firstLineChars="200" w:firstLine="480"/>
        <w:rPr>
          <w:rFonts w:ascii="楷体_GB2312" w:eastAsia="楷体_GB2312" w:hAnsi="宋体" w:cs="宋体"/>
          <w:kern w:val="0"/>
          <w:sz w:val="24"/>
        </w:rPr>
      </w:pPr>
      <w:r>
        <w:rPr>
          <w:rFonts w:ascii="楷体_GB2312" w:eastAsia="楷体_GB2312" w:hAnsi="宋体" w:hint="eastAsia"/>
          <w:kern w:val="0"/>
          <w:sz w:val="24"/>
        </w:rPr>
        <w:t>现金管理类理财产品按照《企业会计准则》及相关会计核算办法估值。</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1</w:t>
      </w:r>
      <w:r>
        <w:rPr>
          <w:rFonts w:ascii="楷体_GB2312" w:eastAsia="楷体_GB2312" w:hAnsi="宋体" w:cs="宋体" w:hint="eastAsia"/>
          <w:kern w:val="0"/>
          <w:sz w:val="24"/>
        </w:rPr>
        <w:t>）债券类资产，使用摊</w:t>
      </w:r>
      <w:proofErr w:type="gramStart"/>
      <w:r>
        <w:rPr>
          <w:rFonts w:ascii="楷体_GB2312" w:eastAsia="楷体_GB2312" w:hAnsi="宋体" w:cs="宋体" w:hint="eastAsia"/>
          <w:kern w:val="0"/>
          <w:sz w:val="24"/>
        </w:rPr>
        <w:t>余成本</w:t>
      </w:r>
      <w:proofErr w:type="gramEnd"/>
      <w:r>
        <w:rPr>
          <w:rFonts w:ascii="楷体_GB2312" w:eastAsia="楷体_GB2312" w:hAnsi="宋体" w:cs="宋体" w:hint="eastAsia"/>
          <w:kern w:val="0"/>
          <w:sz w:val="24"/>
        </w:rPr>
        <w:t>进行计量。估值对象以买入成本列示，按照票面利率或商定利率并考虑其买入时的溢价与折价，在其剩余期限内摊销，每日计提收益。</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2</w:t>
      </w:r>
      <w:r>
        <w:rPr>
          <w:rFonts w:ascii="楷体_GB2312" w:eastAsia="楷体_GB2312" w:hAnsi="宋体" w:cs="宋体" w:hint="eastAsia"/>
          <w:kern w:val="0"/>
          <w:sz w:val="24"/>
        </w:rPr>
        <w:t>）回购以本金列示，按协议利率在实际持有期内逐日计</w:t>
      </w:r>
      <w:r>
        <w:rPr>
          <w:rFonts w:ascii="楷体_GB2312" w:eastAsia="楷体_GB2312" w:hAnsi="宋体" w:cs="宋体" w:hint="eastAsia"/>
          <w:kern w:val="0"/>
          <w:sz w:val="24"/>
        </w:rPr>
        <w:t>提利息。</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3</w:t>
      </w:r>
      <w:r>
        <w:rPr>
          <w:rFonts w:ascii="楷体_GB2312" w:eastAsia="楷体_GB2312" w:hAnsi="宋体" w:cs="宋体" w:hint="eastAsia"/>
          <w:kern w:val="0"/>
          <w:sz w:val="24"/>
        </w:rPr>
        <w:t>）存款类资产，以本金列示，逐日计提利息，在利息到账日以实收利息入账。</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lastRenderedPageBreak/>
        <w:t>（</w:t>
      </w:r>
      <w:r>
        <w:rPr>
          <w:rFonts w:ascii="楷体_GB2312" w:eastAsia="楷体_GB2312" w:hAnsi="宋体" w:cs="宋体" w:hint="eastAsia"/>
          <w:kern w:val="0"/>
          <w:sz w:val="24"/>
        </w:rPr>
        <w:t>4</w:t>
      </w:r>
      <w:r>
        <w:rPr>
          <w:rFonts w:ascii="楷体_GB2312" w:eastAsia="楷体_GB2312" w:hAnsi="宋体" w:cs="宋体" w:hint="eastAsia"/>
          <w:kern w:val="0"/>
          <w:sz w:val="24"/>
        </w:rPr>
        <w:t>）货币市场基金，单位价值按</w:t>
      </w:r>
      <w:r>
        <w:rPr>
          <w:rFonts w:ascii="楷体_GB2312" w:eastAsia="楷体_GB2312" w:hAnsi="宋体" w:cs="宋体" w:hint="eastAsia"/>
          <w:kern w:val="0"/>
          <w:sz w:val="24"/>
        </w:rPr>
        <w:t>1.0000</w:t>
      </w:r>
      <w:r>
        <w:rPr>
          <w:rFonts w:ascii="楷体_GB2312" w:eastAsia="楷体_GB2312" w:hAnsi="宋体" w:cs="宋体" w:hint="eastAsia"/>
          <w:kern w:val="0"/>
          <w:sz w:val="24"/>
        </w:rPr>
        <w:t>计算。货币基金的待分配收益在估值日没有转为份额的，需以公布的万份收益计提应收红利，并在净值计算中体现。</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5</w:t>
      </w:r>
      <w:r>
        <w:rPr>
          <w:rFonts w:ascii="楷体_GB2312" w:eastAsia="楷体_GB2312" w:hAnsi="宋体" w:cs="宋体" w:hint="eastAsia"/>
          <w:kern w:val="0"/>
          <w:sz w:val="24"/>
        </w:rPr>
        <w:t>）相关法律法规以及监管部门有强制规定的，从其规定。</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6</w:t>
      </w:r>
      <w:r>
        <w:rPr>
          <w:rFonts w:ascii="楷体_GB2312" w:eastAsia="楷体_GB2312" w:hAnsi="宋体" w:cs="宋体" w:hint="eastAsia"/>
          <w:kern w:val="0"/>
          <w:sz w:val="24"/>
        </w:rPr>
        <w:t>）如管理人或托管人发现理财产品估值违反本协议约定的估值方法、程序及相关法律法规的规定或者未能充分维护投资人利益时，应立即通知对方，共同查明原因，双方协商解决。</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7</w:t>
      </w:r>
      <w:r>
        <w:rPr>
          <w:rFonts w:ascii="楷体_GB2312" w:eastAsia="楷体_GB2312" w:hAnsi="宋体" w:cs="宋体" w:hint="eastAsia"/>
          <w:kern w:val="0"/>
          <w:sz w:val="24"/>
        </w:rPr>
        <w:t>）如存在上述估值约定未覆盖的投资品种，原则上按照摊</w:t>
      </w:r>
      <w:proofErr w:type="gramStart"/>
      <w:r>
        <w:rPr>
          <w:rFonts w:ascii="楷体_GB2312" w:eastAsia="楷体_GB2312" w:hAnsi="宋体" w:cs="宋体" w:hint="eastAsia"/>
          <w:kern w:val="0"/>
          <w:sz w:val="24"/>
        </w:rPr>
        <w:t>余成本</w:t>
      </w:r>
      <w:proofErr w:type="gramEnd"/>
      <w:r>
        <w:rPr>
          <w:rFonts w:ascii="楷体_GB2312" w:eastAsia="楷体_GB2312" w:hAnsi="宋体" w:cs="宋体" w:hint="eastAsia"/>
          <w:kern w:val="0"/>
          <w:sz w:val="24"/>
        </w:rPr>
        <w:t>法计算或者管理人可根据具体情况，在与托管人商议后，按最能反映该投资品种公允价值的方法估值；</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8</w:t>
      </w:r>
      <w:r>
        <w:rPr>
          <w:rFonts w:ascii="楷体_GB2312" w:eastAsia="楷体_GB2312" w:hAnsi="宋体" w:cs="宋体" w:hint="eastAsia"/>
          <w:kern w:val="0"/>
          <w:sz w:val="24"/>
        </w:rPr>
        <w:t>）如有确凿证据表明按上述规定不能客观反映公允价值的，管理人可根据具体情况，在与托管人商议后，按最能反映理财财产公允价值的方法估值；</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w:t>
      </w:r>
      <w:r>
        <w:rPr>
          <w:rFonts w:ascii="楷体_GB2312" w:eastAsia="楷体_GB2312" w:hAnsi="宋体" w:cs="宋体" w:hint="eastAsia"/>
          <w:kern w:val="0"/>
          <w:sz w:val="24"/>
        </w:rPr>
        <w:t>9</w:t>
      </w:r>
      <w:r>
        <w:rPr>
          <w:rFonts w:ascii="楷体_GB2312" w:eastAsia="楷体_GB2312" w:hAnsi="宋体" w:cs="宋体" w:hint="eastAsia"/>
          <w:kern w:val="0"/>
          <w:sz w:val="24"/>
        </w:rPr>
        <w:t>）</w:t>
      </w:r>
      <w:r>
        <w:rPr>
          <w:rFonts w:ascii="楷体_GB2312" w:eastAsia="楷体_GB2312" w:hAnsi="宋体" w:cs="宋体" w:hint="eastAsia"/>
          <w:kern w:val="0"/>
          <w:sz w:val="24"/>
        </w:rPr>
        <w:t>如有新增事项或变更事项，按管理人与托管</w:t>
      </w:r>
      <w:proofErr w:type="gramStart"/>
      <w:r>
        <w:rPr>
          <w:rFonts w:ascii="楷体_GB2312" w:eastAsia="楷体_GB2312" w:hAnsi="宋体" w:cs="宋体" w:hint="eastAsia"/>
          <w:kern w:val="0"/>
          <w:sz w:val="24"/>
        </w:rPr>
        <w:t>人最新</w:t>
      </w:r>
      <w:proofErr w:type="gramEnd"/>
      <w:r>
        <w:rPr>
          <w:rFonts w:ascii="楷体_GB2312" w:eastAsia="楷体_GB2312" w:hAnsi="宋体" w:cs="宋体" w:hint="eastAsia"/>
          <w:kern w:val="0"/>
          <w:sz w:val="24"/>
        </w:rPr>
        <w:t>商定估值，无最新商定的，按国家最新规定估值。</w:t>
      </w:r>
      <w:r>
        <w:rPr>
          <w:rFonts w:ascii="楷体_GB2312" w:eastAsia="楷体_GB2312" w:hAnsi="宋体" w:cs="宋体" w:hint="eastAsia"/>
          <w:kern w:val="0"/>
          <w:sz w:val="24"/>
        </w:rPr>
        <w:t>在任何情况下，托管人如采用上述估值方法对理财资产进行估</w:t>
      </w:r>
      <w:r>
        <w:rPr>
          <w:rFonts w:ascii="楷体_GB2312" w:eastAsia="楷体_GB2312" w:hAnsi="宋体" w:cs="宋体" w:hint="eastAsia"/>
          <w:kern w:val="0"/>
          <w:sz w:val="24"/>
        </w:rPr>
        <w:t>值，均被认为采用了适当的估值方法。</w:t>
      </w:r>
    </w:p>
    <w:p w:rsidR="000C084B" w:rsidRDefault="009910C4">
      <w:pPr>
        <w:autoSpaceDE w:val="0"/>
        <w:autoSpaceDN w:val="0"/>
        <w:adjustRightInd w:val="0"/>
        <w:spacing w:line="400" w:lineRule="exact"/>
        <w:ind w:firstLineChars="200" w:firstLine="480"/>
        <w:rPr>
          <w:rFonts w:ascii="楷体_GB2312" w:eastAsia="楷体_GB2312" w:hAnsi="宋体" w:cs="宋体"/>
          <w:kern w:val="0"/>
          <w:sz w:val="24"/>
        </w:rPr>
      </w:pPr>
      <w:r>
        <w:rPr>
          <w:rFonts w:ascii="楷体_GB2312" w:eastAsia="楷体_GB2312" w:hAnsi="宋体" w:cs="宋体" w:hint="eastAsia"/>
          <w:kern w:val="0"/>
          <w:sz w:val="24"/>
        </w:rPr>
        <w:t>若管理人在法律法规规定范围内对理财产品增加新的投资品种，应提前告知托管人，并与托管人协商一致对该投资品种的估值方法，确保理财估值的准确。</w:t>
      </w:r>
    </w:p>
    <w:p w:rsidR="000C084B" w:rsidRDefault="009910C4">
      <w:pPr>
        <w:autoSpaceDE w:val="0"/>
        <w:autoSpaceDN w:val="0"/>
        <w:adjustRightInd w:val="0"/>
        <w:spacing w:line="400" w:lineRule="exact"/>
        <w:ind w:firstLineChars="200" w:firstLine="482"/>
        <w:rPr>
          <w:rFonts w:ascii="楷体_GB2312" w:eastAsia="楷体_GB2312" w:hAnsi="宋体" w:cs="宋体"/>
          <w:b/>
          <w:bCs/>
          <w:kern w:val="0"/>
          <w:sz w:val="24"/>
        </w:rPr>
      </w:pPr>
      <w:r>
        <w:rPr>
          <w:rFonts w:ascii="楷体_GB2312" w:eastAsia="楷体_GB2312" w:hAnsi="宋体" w:cs="宋体" w:hint="eastAsia"/>
          <w:b/>
          <w:bCs/>
          <w:kern w:val="0"/>
          <w:sz w:val="24"/>
        </w:rPr>
        <w:t>三、原协议第十一章第（一）节增加：</w:t>
      </w:r>
    </w:p>
    <w:p w:rsidR="000C084B" w:rsidRDefault="009910C4">
      <w:pPr>
        <w:spacing w:line="400" w:lineRule="exact"/>
        <w:ind w:firstLineChars="200" w:firstLine="480"/>
        <w:rPr>
          <w:rFonts w:ascii="楷体_GB2312" w:eastAsia="楷体_GB2312" w:hAnsi="宋体"/>
          <w:kern w:val="0"/>
          <w:sz w:val="24"/>
        </w:rPr>
      </w:pPr>
      <w:r>
        <w:rPr>
          <w:rFonts w:ascii="楷体_GB2312" w:eastAsia="楷体_GB2312" w:hAnsi="宋体" w:hint="eastAsia"/>
          <w:kern w:val="0"/>
          <w:sz w:val="24"/>
        </w:rPr>
        <w:t>6.</w:t>
      </w:r>
      <w:r>
        <w:rPr>
          <w:rFonts w:ascii="楷体_GB2312" w:eastAsia="楷体_GB2312" w:hAnsi="宋体" w:hint="eastAsia"/>
          <w:kern w:val="0"/>
          <w:sz w:val="24"/>
        </w:rPr>
        <w:t>市值偏离表</w:t>
      </w:r>
    </w:p>
    <w:p w:rsidR="000C084B" w:rsidRDefault="009910C4">
      <w:pPr>
        <w:spacing w:line="400" w:lineRule="exact"/>
        <w:ind w:firstLine="480"/>
        <w:rPr>
          <w:rFonts w:ascii="楷体_GB2312" w:eastAsia="楷体_GB2312" w:hAnsi="宋体"/>
          <w:kern w:val="0"/>
          <w:sz w:val="24"/>
        </w:rPr>
      </w:pPr>
      <w:r>
        <w:rPr>
          <w:rFonts w:ascii="楷体_GB2312" w:eastAsia="楷体_GB2312" w:hAnsi="宋体" w:hint="eastAsia"/>
          <w:kern w:val="0"/>
          <w:sz w:val="24"/>
        </w:rPr>
        <w:t>为了避免采用“摊余成本法”计算的理财产品资产净值与按市场利率和交易市价计算的理财产品资产净值发生重大偏离，从而对投资人的利益产生稀释和不公平的结果，管理人与托管人于每一估值日，采用估值技术，对本产品持有的估值对象进行重新评估，即“影子定价”，具体每只现金管理类理财产品偏离度的要求，以各</w:t>
      </w:r>
      <w:r>
        <w:rPr>
          <w:rFonts w:ascii="楷体_GB2312" w:eastAsia="楷体_GB2312" w:hAnsi="宋体" w:hint="eastAsia"/>
          <w:kern w:val="0"/>
          <w:sz w:val="24"/>
        </w:rPr>
        <w:t>期理财产品说明书为准。</w:t>
      </w:r>
    </w:p>
    <w:p w:rsidR="000C084B" w:rsidRDefault="009910C4">
      <w:pPr>
        <w:autoSpaceDE w:val="0"/>
        <w:autoSpaceDN w:val="0"/>
        <w:adjustRightInd w:val="0"/>
        <w:spacing w:line="400" w:lineRule="exact"/>
        <w:ind w:firstLineChars="200" w:firstLine="482"/>
        <w:rPr>
          <w:rFonts w:ascii="楷体_GB2312" w:eastAsia="楷体_GB2312" w:cs="宋体"/>
          <w:b/>
          <w:bCs/>
          <w:kern w:val="0"/>
          <w:sz w:val="24"/>
          <w:szCs w:val="22"/>
        </w:rPr>
      </w:pPr>
      <w:r>
        <w:rPr>
          <w:rFonts w:ascii="楷体_GB2312" w:eastAsia="楷体_GB2312" w:hAnsi="宋体" w:cs="宋体" w:hint="eastAsia"/>
          <w:b/>
          <w:bCs/>
          <w:kern w:val="0"/>
          <w:sz w:val="24"/>
        </w:rPr>
        <w:t>四</w:t>
      </w:r>
      <w:r>
        <w:rPr>
          <w:rFonts w:ascii="楷体_GB2312" w:eastAsia="楷体_GB2312" w:hAnsi="宋体" w:cs="宋体" w:hint="eastAsia"/>
          <w:b/>
          <w:bCs/>
          <w:kern w:val="0"/>
          <w:sz w:val="24"/>
        </w:rPr>
        <w:t>、</w:t>
      </w:r>
      <w:r>
        <w:rPr>
          <w:rFonts w:ascii="楷体_GB2312" w:eastAsia="楷体_GB2312" w:cs="宋体" w:hint="eastAsia"/>
          <w:b/>
          <w:bCs/>
          <w:kern w:val="0"/>
          <w:sz w:val="24"/>
          <w:szCs w:val="22"/>
        </w:rPr>
        <w:t>本补充协议自双方法定代表人（负责人）或授权代表签</w:t>
      </w:r>
      <w:r>
        <w:rPr>
          <w:rFonts w:ascii="楷体_GB2312" w:eastAsia="楷体_GB2312" w:cs="宋体" w:hint="eastAsia"/>
          <w:b/>
          <w:bCs/>
          <w:kern w:val="0"/>
          <w:sz w:val="24"/>
          <w:szCs w:val="22"/>
        </w:rPr>
        <w:t>字或</w:t>
      </w:r>
      <w:r w:rsidR="00DB400A">
        <w:rPr>
          <w:rFonts w:ascii="楷体_GB2312" w:eastAsia="楷体_GB2312" w:cs="宋体" w:hint="eastAsia"/>
          <w:b/>
          <w:bCs/>
          <w:kern w:val="0"/>
          <w:sz w:val="24"/>
          <w:szCs w:val="22"/>
        </w:rPr>
        <w:t>签</w:t>
      </w:r>
      <w:r>
        <w:rPr>
          <w:rFonts w:ascii="楷体_GB2312" w:eastAsia="楷体_GB2312" w:cs="宋体" w:hint="eastAsia"/>
          <w:b/>
          <w:bCs/>
          <w:kern w:val="0"/>
          <w:sz w:val="24"/>
          <w:szCs w:val="22"/>
        </w:rPr>
        <w:t>章并加盖双方公章或合同专用章之日起生效，至原协议终止之日终止。本补充协议与原协议不一致的，以本补充协议为准。本补充协议未约定的，按照原协议执行。</w:t>
      </w:r>
    </w:p>
    <w:p w:rsidR="000C084B" w:rsidRDefault="009910C4">
      <w:pPr>
        <w:autoSpaceDE w:val="0"/>
        <w:autoSpaceDN w:val="0"/>
        <w:adjustRightInd w:val="0"/>
        <w:spacing w:line="400" w:lineRule="exact"/>
        <w:ind w:firstLineChars="200" w:firstLine="482"/>
        <w:rPr>
          <w:rFonts w:ascii="楷体_GB2312" w:eastAsia="楷体_GB2312" w:hAnsi="宋体" w:cs="宋体"/>
          <w:kern w:val="0"/>
          <w:sz w:val="30"/>
          <w:szCs w:val="30"/>
        </w:rPr>
      </w:pPr>
      <w:r>
        <w:rPr>
          <w:rFonts w:ascii="楷体_GB2312" w:eastAsia="楷体_GB2312" w:hAnsi="宋体" w:cs="宋体" w:hint="eastAsia"/>
          <w:b/>
          <w:bCs/>
          <w:kern w:val="0"/>
          <w:sz w:val="24"/>
        </w:rPr>
        <w:t>五</w:t>
      </w:r>
      <w:r>
        <w:rPr>
          <w:rFonts w:ascii="楷体_GB2312" w:eastAsia="楷体_GB2312" w:hAnsi="宋体" w:cs="宋体" w:hint="eastAsia"/>
          <w:b/>
          <w:bCs/>
          <w:kern w:val="0"/>
          <w:sz w:val="24"/>
        </w:rPr>
        <w:t>、本补充协议一式肆份，管理人贰份，托管人贰份，每份具有同等法律效力。</w:t>
      </w:r>
      <w:r>
        <w:rPr>
          <w:rFonts w:ascii="楷体_GB2312" w:eastAsia="楷体_GB2312" w:hAnsi="宋体" w:cs="宋体" w:hint="eastAsia"/>
          <w:b/>
          <w:bCs/>
          <w:kern w:val="0"/>
          <w:sz w:val="24"/>
        </w:rPr>
        <w:t xml:space="preserve"> </w:t>
      </w:r>
      <w:r>
        <w:rPr>
          <w:rFonts w:ascii="楷体_GB2312" w:eastAsia="楷体_GB2312" w:hAnsi="宋体" w:cs="宋体" w:hint="eastAsia"/>
          <w:kern w:val="0"/>
          <w:sz w:val="30"/>
          <w:szCs w:val="30"/>
        </w:rPr>
        <w:br w:type="page"/>
      </w:r>
    </w:p>
    <w:p w:rsidR="000C084B" w:rsidRDefault="009910C4">
      <w:pPr>
        <w:spacing w:line="360" w:lineRule="auto"/>
        <w:rPr>
          <w:rFonts w:ascii="楷体_GB2312" w:eastAsia="楷体_GB2312" w:hAnsi="宋体" w:cs="宋体"/>
          <w:kern w:val="0"/>
          <w:sz w:val="30"/>
          <w:szCs w:val="30"/>
        </w:rPr>
      </w:pPr>
      <w:r>
        <w:rPr>
          <w:rFonts w:ascii="楷体_GB2312" w:eastAsia="楷体_GB2312" w:hAnsi="宋体" w:cs="宋体" w:hint="eastAsia"/>
          <w:kern w:val="0"/>
          <w:sz w:val="30"/>
          <w:szCs w:val="30"/>
        </w:rPr>
        <w:lastRenderedPageBreak/>
        <w:t>本页无正文，为《中邮理财净值型理财产品托管协议之补充协议一》签署页</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center"/>
        <w:rPr>
          <w:rFonts w:ascii="楷体_GB2312" w:eastAsia="楷体_GB2312" w:cs="宋体"/>
          <w:b/>
          <w:kern w:val="0"/>
          <w:sz w:val="30"/>
          <w:szCs w:val="30"/>
        </w:rPr>
      </w:pPr>
      <w:r>
        <w:rPr>
          <w:rFonts w:ascii="楷体_GB2312" w:eastAsia="楷体_GB2312" w:cs="宋体" w:hint="eastAsia"/>
          <w:b/>
          <w:kern w:val="0"/>
          <w:sz w:val="30"/>
          <w:szCs w:val="30"/>
        </w:rPr>
        <w:t>中邮理财净值型理财产品托管协议之补充协议一</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宋体" w:hint="eastAsia"/>
          <w:kern w:val="0"/>
          <w:sz w:val="30"/>
          <w:szCs w:val="30"/>
        </w:rPr>
        <w:t>管理人：中邮理财有限责任公司（公章</w:t>
      </w:r>
      <w:r>
        <w:rPr>
          <w:rFonts w:ascii="楷体_GB2312" w:eastAsia="楷体_GB2312" w:hAnsi="宋体" w:cs="宋体" w:hint="eastAsia"/>
          <w:kern w:val="0"/>
          <w:sz w:val="30"/>
          <w:szCs w:val="30"/>
        </w:rPr>
        <w:t>/</w:t>
      </w:r>
      <w:r>
        <w:rPr>
          <w:rFonts w:ascii="楷体_GB2312" w:eastAsia="楷体_GB2312" w:hAnsi="宋体" w:cs="宋体" w:hint="eastAsia"/>
          <w:kern w:val="0"/>
          <w:sz w:val="30"/>
          <w:szCs w:val="30"/>
        </w:rPr>
        <w:t>合同专用章）</w:t>
      </w:r>
      <w:r>
        <w:rPr>
          <w:rFonts w:ascii="楷体_GB2312" w:eastAsia="楷体_GB2312" w:hAnsi="宋体" w:cs="Arial" w:hint="eastAsia"/>
          <w:kern w:val="0"/>
          <w:sz w:val="30"/>
          <w:szCs w:val="30"/>
        </w:rPr>
        <w:t xml:space="preserve"> </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宋体" w:hint="eastAsia"/>
          <w:kern w:val="0"/>
          <w:sz w:val="30"/>
          <w:szCs w:val="30"/>
        </w:rPr>
        <w:t>法定代表人或授权代理人</w:t>
      </w:r>
      <w:r>
        <w:rPr>
          <w:rFonts w:ascii="楷体_GB2312" w:eastAsia="楷体_GB2312" w:hAnsi="宋体" w:cs="宋体" w:hint="eastAsia"/>
          <w:kern w:val="0"/>
          <w:sz w:val="30"/>
          <w:szCs w:val="30"/>
        </w:rPr>
        <w:t>(</w:t>
      </w:r>
      <w:r>
        <w:rPr>
          <w:rFonts w:ascii="楷体_GB2312" w:eastAsia="楷体_GB2312" w:hAnsi="宋体" w:cs="宋体" w:hint="eastAsia"/>
          <w:kern w:val="0"/>
          <w:sz w:val="30"/>
          <w:szCs w:val="30"/>
        </w:rPr>
        <w:t>签字</w:t>
      </w:r>
      <w:r>
        <w:rPr>
          <w:rFonts w:ascii="楷体_GB2312" w:eastAsia="楷体_GB2312" w:hAnsi="宋体" w:cs="宋体" w:hint="eastAsia"/>
          <w:kern w:val="0"/>
          <w:sz w:val="30"/>
          <w:szCs w:val="30"/>
        </w:rPr>
        <w:t>或盖章</w:t>
      </w:r>
      <w:r>
        <w:rPr>
          <w:rFonts w:ascii="楷体_GB2312" w:eastAsia="楷体_GB2312" w:hAnsi="宋体" w:cs="Arial" w:hint="eastAsia"/>
          <w:kern w:val="0"/>
          <w:sz w:val="30"/>
          <w:szCs w:val="30"/>
        </w:rPr>
        <w:t>)</w:t>
      </w:r>
      <w:r>
        <w:rPr>
          <w:rFonts w:ascii="楷体_GB2312" w:eastAsia="楷体_GB2312" w:hAnsi="宋体" w:cs="宋体" w:hint="eastAsia"/>
          <w:kern w:val="0"/>
          <w:sz w:val="30"/>
          <w:szCs w:val="30"/>
        </w:rPr>
        <w:t>：</w:t>
      </w:r>
      <w:r>
        <w:rPr>
          <w:rFonts w:ascii="楷体_GB2312" w:eastAsia="楷体_GB2312" w:hAnsi="宋体" w:cs="宋体" w:hint="eastAsia"/>
          <w:kern w:val="0"/>
          <w:sz w:val="30"/>
          <w:szCs w:val="30"/>
        </w:rPr>
        <w:t xml:space="preserve">                  </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Arial" w:hint="eastAsia"/>
          <w:kern w:val="0"/>
          <w:sz w:val="30"/>
          <w:szCs w:val="30"/>
        </w:rPr>
        <w:t>签约地点：</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 xml:space="preserve"> </w:t>
      </w: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Arial" w:hint="eastAsia"/>
          <w:kern w:val="0"/>
          <w:sz w:val="30"/>
          <w:szCs w:val="30"/>
        </w:rPr>
        <w:t>签约日期：</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年</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月</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日</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left"/>
        <w:rPr>
          <w:rFonts w:ascii="楷体_GB2312" w:eastAsia="楷体_GB2312" w:hAnsi="宋体" w:cs="宋体"/>
          <w:kern w:val="0"/>
          <w:sz w:val="30"/>
          <w:szCs w:val="30"/>
        </w:rPr>
      </w:pPr>
      <w:r>
        <w:rPr>
          <w:rFonts w:ascii="楷体_GB2312" w:eastAsia="楷体_GB2312" w:hAnsi="宋体" w:cs="宋体" w:hint="eastAsia"/>
          <w:kern w:val="0"/>
          <w:sz w:val="30"/>
          <w:szCs w:val="30"/>
        </w:rPr>
        <w:t>托管人：中国建设银行股份有限公司北京市分行（公章</w:t>
      </w:r>
      <w:r>
        <w:rPr>
          <w:rFonts w:ascii="楷体_GB2312" w:eastAsia="楷体_GB2312" w:hAnsi="宋体" w:cs="宋体" w:hint="eastAsia"/>
          <w:kern w:val="0"/>
          <w:sz w:val="30"/>
          <w:szCs w:val="30"/>
        </w:rPr>
        <w:t>/</w:t>
      </w:r>
      <w:r>
        <w:rPr>
          <w:rFonts w:ascii="楷体_GB2312" w:eastAsia="楷体_GB2312" w:hAnsi="宋体" w:cs="宋体" w:hint="eastAsia"/>
          <w:kern w:val="0"/>
          <w:sz w:val="30"/>
          <w:szCs w:val="30"/>
        </w:rPr>
        <w:t>合同专用章）</w:t>
      </w:r>
    </w:p>
    <w:p w:rsidR="000C084B" w:rsidRDefault="000C084B">
      <w:pPr>
        <w:autoSpaceDE w:val="0"/>
        <w:autoSpaceDN w:val="0"/>
        <w:adjustRightInd w:val="0"/>
        <w:jc w:val="left"/>
        <w:rPr>
          <w:rFonts w:ascii="楷体_GB2312" w:eastAsia="楷体_GB2312" w:hAnsi="宋体" w:cs="宋体"/>
          <w:kern w:val="0"/>
          <w:sz w:val="30"/>
          <w:szCs w:val="30"/>
        </w:rPr>
      </w:pPr>
    </w:p>
    <w:p w:rsidR="000C084B" w:rsidRDefault="000C084B">
      <w:pPr>
        <w:autoSpaceDE w:val="0"/>
        <w:autoSpaceDN w:val="0"/>
        <w:adjustRightInd w:val="0"/>
        <w:jc w:val="left"/>
        <w:rPr>
          <w:rFonts w:ascii="楷体_GB2312" w:eastAsia="楷体_GB2312" w:hAnsi="宋体"/>
          <w:kern w:val="0"/>
          <w:sz w:val="30"/>
          <w:szCs w:val="30"/>
        </w:rPr>
      </w:pP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宋体" w:hint="eastAsia"/>
          <w:kern w:val="0"/>
          <w:sz w:val="30"/>
          <w:szCs w:val="30"/>
        </w:rPr>
        <w:t>负责人或授权代理人</w:t>
      </w:r>
      <w:r>
        <w:rPr>
          <w:rFonts w:ascii="楷体_GB2312" w:eastAsia="楷体_GB2312" w:hAnsi="宋体" w:cs="Arial" w:hint="eastAsia"/>
          <w:kern w:val="0"/>
          <w:sz w:val="30"/>
          <w:szCs w:val="30"/>
        </w:rPr>
        <w:t>(</w:t>
      </w:r>
      <w:r>
        <w:rPr>
          <w:rFonts w:ascii="楷体_GB2312" w:eastAsia="楷体_GB2312" w:hAnsi="宋体" w:cs="宋体" w:hint="eastAsia"/>
          <w:kern w:val="0"/>
          <w:sz w:val="30"/>
          <w:szCs w:val="30"/>
        </w:rPr>
        <w:t>签字或</w:t>
      </w:r>
      <w:r w:rsidR="00DB400A">
        <w:rPr>
          <w:rFonts w:ascii="楷体_GB2312" w:eastAsia="楷体_GB2312" w:hAnsi="宋体" w:cs="宋体" w:hint="eastAsia"/>
          <w:kern w:val="0"/>
          <w:sz w:val="30"/>
          <w:szCs w:val="30"/>
        </w:rPr>
        <w:t>签</w:t>
      </w:r>
      <w:bookmarkStart w:id="0" w:name="_GoBack"/>
      <w:bookmarkEnd w:id="0"/>
      <w:r>
        <w:rPr>
          <w:rFonts w:ascii="楷体_GB2312" w:eastAsia="楷体_GB2312" w:hAnsi="宋体" w:cs="宋体" w:hint="eastAsia"/>
          <w:kern w:val="0"/>
          <w:sz w:val="30"/>
          <w:szCs w:val="30"/>
        </w:rPr>
        <w:t>章</w:t>
      </w:r>
      <w:r>
        <w:rPr>
          <w:rFonts w:ascii="楷体_GB2312" w:eastAsia="楷体_GB2312" w:hAnsi="宋体" w:cs="Arial" w:hint="eastAsia"/>
          <w:kern w:val="0"/>
          <w:sz w:val="30"/>
          <w:szCs w:val="30"/>
        </w:rPr>
        <w:t>)</w:t>
      </w:r>
      <w:r>
        <w:rPr>
          <w:rFonts w:ascii="楷体_GB2312" w:eastAsia="楷体_GB2312" w:hAnsi="宋体" w:cs="宋体" w:hint="eastAsia"/>
          <w:kern w:val="0"/>
          <w:sz w:val="30"/>
          <w:szCs w:val="30"/>
        </w:rPr>
        <w:t>：</w:t>
      </w:r>
      <w:r>
        <w:rPr>
          <w:rFonts w:ascii="楷体_GB2312" w:eastAsia="楷体_GB2312" w:hAnsi="宋体" w:cs="Arial" w:hint="eastAsia"/>
          <w:kern w:val="0"/>
          <w:sz w:val="30"/>
          <w:szCs w:val="30"/>
        </w:rPr>
        <w:t xml:space="preserve">         </w:t>
      </w:r>
    </w:p>
    <w:p w:rsidR="000C084B" w:rsidRDefault="000C084B">
      <w:pPr>
        <w:autoSpaceDE w:val="0"/>
        <w:autoSpaceDN w:val="0"/>
        <w:adjustRightInd w:val="0"/>
        <w:jc w:val="left"/>
        <w:rPr>
          <w:rFonts w:ascii="楷体_GB2312" w:eastAsia="楷体_GB2312" w:hAnsi="宋体" w:cs="Arial"/>
          <w:kern w:val="0"/>
          <w:sz w:val="30"/>
          <w:szCs w:val="30"/>
        </w:rPr>
      </w:pPr>
    </w:p>
    <w:p w:rsidR="000C084B" w:rsidRDefault="009910C4">
      <w:pPr>
        <w:autoSpaceDE w:val="0"/>
        <w:autoSpaceDN w:val="0"/>
        <w:adjustRightInd w:val="0"/>
        <w:jc w:val="left"/>
        <w:rPr>
          <w:rFonts w:ascii="楷体_GB2312" w:eastAsia="楷体_GB2312" w:hAnsi="宋体" w:cs="Arial"/>
          <w:kern w:val="0"/>
          <w:sz w:val="30"/>
          <w:szCs w:val="30"/>
        </w:rPr>
      </w:pPr>
      <w:r>
        <w:rPr>
          <w:rFonts w:ascii="楷体_GB2312" w:eastAsia="楷体_GB2312" w:hAnsi="宋体" w:cs="Arial" w:hint="eastAsia"/>
          <w:kern w:val="0"/>
          <w:sz w:val="30"/>
          <w:szCs w:val="30"/>
        </w:rPr>
        <w:t>签约地点：</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 xml:space="preserve"> </w:t>
      </w:r>
    </w:p>
    <w:p w:rsidR="000C084B" w:rsidRDefault="009910C4">
      <w:pPr>
        <w:autoSpaceDE w:val="0"/>
        <w:autoSpaceDN w:val="0"/>
        <w:adjustRightInd w:val="0"/>
        <w:jc w:val="left"/>
        <w:rPr>
          <w:rFonts w:ascii="楷体_GB2312" w:eastAsia="楷体_GB2312" w:hAnsi="宋体" w:cs="Arial"/>
          <w:b/>
          <w:kern w:val="0"/>
          <w:sz w:val="30"/>
          <w:szCs w:val="30"/>
        </w:rPr>
      </w:pPr>
      <w:r>
        <w:rPr>
          <w:rFonts w:ascii="楷体_GB2312" w:eastAsia="楷体_GB2312" w:hAnsi="宋体" w:cs="Arial" w:hint="eastAsia"/>
          <w:kern w:val="0"/>
          <w:sz w:val="30"/>
          <w:szCs w:val="30"/>
        </w:rPr>
        <w:t>签约日期：</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年</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月</w:t>
      </w:r>
      <w:r>
        <w:rPr>
          <w:rFonts w:ascii="楷体_GB2312" w:eastAsia="楷体_GB2312" w:hAnsi="宋体" w:cs="Arial" w:hint="eastAsia"/>
          <w:kern w:val="0"/>
          <w:sz w:val="30"/>
          <w:szCs w:val="30"/>
          <w:u w:val="single"/>
        </w:rPr>
        <w:t xml:space="preserve">     </w:t>
      </w:r>
      <w:r>
        <w:rPr>
          <w:rFonts w:ascii="楷体_GB2312" w:eastAsia="楷体_GB2312" w:hAnsi="宋体" w:cs="Arial" w:hint="eastAsia"/>
          <w:kern w:val="0"/>
          <w:sz w:val="30"/>
          <w:szCs w:val="30"/>
        </w:rPr>
        <w:t>日</w:t>
      </w:r>
    </w:p>
    <w:sectPr w:rsidR="000C084B">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46203D" w15:done="0"/>
  <w15:commentEx w15:paraId="7C834E1B" w15:done="0"/>
  <w15:commentEx w15:paraId="1EF244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C4" w:rsidRDefault="009910C4">
      <w:r>
        <w:separator/>
      </w:r>
    </w:p>
  </w:endnote>
  <w:endnote w:type="continuationSeparator" w:id="0">
    <w:p w:rsidR="009910C4" w:rsidRDefault="0099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default"/>
    <w:sig w:usb0="00000000" w:usb1="0000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彩虹黑体">
    <w:altName w:val="黑体"/>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4B" w:rsidRDefault="009910C4">
    <w:pPr>
      <w:pStyle w:val="a7"/>
    </w:pPr>
    <w:r>
      <w:rPr>
        <w:noProof/>
      </w:rPr>
      <mc:AlternateContent>
        <mc:Choice Requires="wps">
          <w:drawing>
            <wp:anchor distT="0" distB="0" distL="114300" distR="114300" simplePos="0" relativeHeight="251659264" behindDoc="0" locked="0" layoutInCell="1" allowOverlap="1" wp14:anchorId="16C2B48A" wp14:editId="4694D292">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0C084B" w:rsidRDefault="009910C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B400A" w:rsidRPr="00DB400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B400A">
                            <w:rPr>
                              <w:noProof/>
                              <w:sz w:val="18"/>
                            </w:rPr>
                            <w:t>3</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rect id="矩形 1"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" filled="f" stroked="f">
              <v:textbox style="mso-fit-shape-to-text:t" inset="0,0,0,0">
                <w:txbxContent>
                  <w:p w:rsidR="000C084B" w:rsidRDefault="009910C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B400A" w:rsidRPr="00DB400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B400A">
                      <w:rPr>
                        <w:noProof/>
                        <w:sz w:val="18"/>
                      </w:rPr>
                      <w:t>3</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C4" w:rsidRDefault="009910C4">
      <w:r>
        <w:separator/>
      </w:r>
    </w:p>
  </w:footnote>
  <w:footnote w:type="continuationSeparator" w:id="0">
    <w:p w:rsidR="009910C4" w:rsidRDefault="0099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multilevel"/>
    <w:tmpl w:val="00000039"/>
    <w:lvl w:ilvl="0">
      <w:start w:val="1"/>
      <w:numFmt w:val="japaneseCounting"/>
      <w:pStyle w:val="1"/>
      <w:lvlText w:val="第%1章"/>
      <w:lvlJc w:val="left"/>
      <w:pPr>
        <w:tabs>
          <w:tab w:val="left" w:pos="4691"/>
        </w:tabs>
        <w:ind w:left="4691" w:hanging="1005"/>
      </w:pPr>
      <w:rPr>
        <w:rFonts w:ascii="楷体_GB2312" w:eastAsia="楷体_GB2312" w:hint="eastAsia"/>
        <w:sz w:val="24"/>
        <w:szCs w:val="24"/>
        <w:lang w:val="en-US"/>
      </w:rPr>
    </w:lvl>
    <w:lvl w:ilvl="1">
      <w:start w:val="1"/>
      <w:numFmt w:val="decimal"/>
      <w:lvlText w:val="%2、"/>
      <w:lvlJc w:val="left"/>
      <w:pPr>
        <w:ind w:left="1260" w:hanging="840"/>
      </w:pPr>
      <w:rPr>
        <w:rFonts w:cs="宋体"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琦">
    <w15:presenceInfo w15:providerId="None" w15:userId="王琦"/>
  </w15:person>
  <w15:person w15:author="sujie-中邮理财">
    <w15:presenceInfo w15:providerId="None" w15:userId="sujie-中邮理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jVlYzczY2UzZWFlYjdkNWEwMWYyYTJjY2I5YzQifQ=="/>
  </w:docVars>
  <w:rsids>
    <w:rsidRoot w:val="51AD14B7"/>
    <w:rsid w:val="000C084B"/>
    <w:rsid w:val="000F4366"/>
    <w:rsid w:val="00332DB4"/>
    <w:rsid w:val="00660981"/>
    <w:rsid w:val="00912DC5"/>
    <w:rsid w:val="009910C4"/>
    <w:rsid w:val="009F4E31"/>
    <w:rsid w:val="00DB400A"/>
    <w:rsid w:val="00DD2258"/>
    <w:rsid w:val="00EE55B2"/>
    <w:rsid w:val="091A4BEC"/>
    <w:rsid w:val="0963121E"/>
    <w:rsid w:val="126E6302"/>
    <w:rsid w:val="24834C7B"/>
    <w:rsid w:val="28B84DCA"/>
    <w:rsid w:val="2F6E54E3"/>
    <w:rsid w:val="35A51F93"/>
    <w:rsid w:val="409B1709"/>
    <w:rsid w:val="51AD14B7"/>
    <w:rsid w:val="653E2E2E"/>
    <w:rsid w:val="68535B07"/>
    <w:rsid w:val="69DF2BD2"/>
    <w:rsid w:val="7025508A"/>
    <w:rsid w:val="78460321"/>
    <w:rsid w:val="796C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index61"/>
    <w:qFormat/>
    <w:pPr>
      <w:widowControl w:val="0"/>
      <w:jc w:val="both"/>
    </w:pPr>
    <w:rPr>
      <w:rFonts w:cs="Times New Roman"/>
      <w:kern w:val="2"/>
      <w:sz w:val="21"/>
      <w:szCs w:val="24"/>
    </w:rPr>
  </w:style>
  <w:style w:type="paragraph" w:styleId="1">
    <w:name w:val="heading 1"/>
    <w:basedOn w:val="a"/>
    <w:next w:val="a"/>
    <w:qFormat/>
    <w:pPr>
      <w:numPr>
        <w:numId w:val="1"/>
      </w:numPr>
      <w:tabs>
        <w:tab w:val="clear" w:pos="4691"/>
        <w:tab w:val="left" w:pos="4266"/>
      </w:tabs>
      <w:autoSpaceDE w:val="0"/>
      <w:autoSpaceDN w:val="0"/>
      <w:adjustRightInd w:val="0"/>
      <w:jc w:val="center"/>
      <w:outlineLvl w:val="0"/>
    </w:pPr>
    <w:rPr>
      <w:rFonts w:ascii="宋体" w:hAnsi="宋体" w:cs="宋体"/>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61">
    <w:name w:val="index 61"/>
    <w:basedOn w:val="a"/>
    <w:next w:val="a"/>
    <w:qFormat/>
    <w:pPr>
      <w:ind w:leftChars="1000" w:left="1000"/>
    </w:pPr>
    <w:rPr>
      <w:rFonts w:ascii="Calibri" w:hAnsi="Calibri"/>
    </w:rPr>
  </w:style>
  <w:style w:type="paragraph" w:styleId="a3">
    <w:name w:val="annotation text"/>
    <w:basedOn w:val="a"/>
    <w:link w:val="Char"/>
    <w:qFormat/>
    <w:pPr>
      <w:jc w:val="left"/>
    </w:pPr>
  </w:style>
  <w:style w:type="paragraph" w:styleId="a4">
    <w:name w:val="Body Text"/>
    <w:basedOn w:val="a"/>
    <w:uiPriority w:val="99"/>
    <w:unhideWhenUsed/>
    <w:qFormat/>
    <w:pPr>
      <w:snapToGrid w:val="0"/>
      <w:spacing w:line="360" w:lineRule="auto"/>
    </w:pPr>
    <w:rPr>
      <w:rFonts w:ascii="仿宋_GB2312" w:eastAsia="仿宋_GB2312"/>
      <w:sz w:val="24"/>
      <w:szCs w:val="20"/>
    </w:rPr>
  </w:style>
  <w:style w:type="paragraph" w:styleId="a5">
    <w:name w:val="Body Text Indent"/>
    <w:basedOn w:val="a"/>
    <w:qFormat/>
    <w:pPr>
      <w:autoSpaceDE w:val="0"/>
      <w:autoSpaceDN w:val="0"/>
      <w:adjustRightInd w:val="0"/>
      <w:spacing w:line="360" w:lineRule="auto"/>
      <w:ind w:firstLineChars="199" w:firstLine="478"/>
    </w:pPr>
    <w:rPr>
      <w:rFonts w:ascii="宋体" w:hAnsi="宋体"/>
      <w:kern w:val="0"/>
      <w:sz w:val="24"/>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b/>
      <w:bCs/>
      <w:caps/>
      <w:sz w:val="20"/>
      <w:szCs w:val="20"/>
    </w:rPr>
  </w:style>
  <w:style w:type="paragraph" w:styleId="a9">
    <w:name w:val="annotation subject"/>
    <w:basedOn w:val="a3"/>
    <w:next w:val="a3"/>
    <w:link w:val="Char1"/>
    <w:qFormat/>
    <w:rPr>
      <w:b/>
      <w:bCs/>
    </w:rPr>
  </w:style>
  <w:style w:type="paragraph" w:styleId="aa">
    <w:name w:val="Body Text First Indent"/>
    <w:basedOn w:val="a4"/>
    <w:next w:val="2"/>
    <w:uiPriority w:val="99"/>
    <w:unhideWhenUsed/>
    <w:qFormat/>
    <w:pPr>
      <w:adjustRightInd w:val="0"/>
      <w:spacing w:line="240" w:lineRule="atLeast"/>
      <w:ind w:firstLineChars="200" w:firstLine="976"/>
      <w:jc w:val="center"/>
    </w:pPr>
    <w:rPr>
      <w:rFonts w:eastAsia="彩虹黑体"/>
      <w:color w:val="FF0000"/>
      <w:spacing w:val="-20"/>
      <w:w w:val="90"/>
      <w:kern w:val="0"/>
      <w:sz w:val="28"/>
    </w:rPr>
  </w:style>
  <w:style w:type="paragraph" w:styleId="2">
    <w:name w:val="Body Text First Indent 2"/>
    <w:basedOn w:val="a5"/>
    <w:uiPriority w:val="99"/>
    <w:unhideWhenUsed/>
    <w:qFormat/>
    <w:pPr>
      <w:ind w:firstLineChars="200" w:firstLine="420"/>
    </w:pPr>
  </w:style>
  <w:style w:type="character" w:styleId="ab">
    <w:name w:val="page number"/>
    <w:qFormat/>
  </w:style>
  <w:style w:type="character" w:styleId="ac">
    <w:name w:val="Hyperlink"/>
    <w:uiPriority w:val="99"/>
    <w:qFormat/>
    <w:rPr>
      <w:color w:val="0000FF"/>
      <w:u w:val="single"/>
    </w:rPr>
  </w:style>
  <w:style w:type="character" w:styleId="ad">
    <w:name w:val="annotation reference"/>
    <w:basedOn w:val="a0"/>
    <w:qFormat/>
    <w:rPr>
      <w:sz w:val="21"/>
      <w:szCs w:val="21"/>
    </w:rPr>
  </w:style>
  <w:style w:type="character" w:customStyle="1" w:styleId="Char">
    <w:name w:val="批注文字 Char"/>
    <w:basedOn w:val="a0"/>
    <w:link w:val="a3"/>
    <w:rPr>
      <w:rFonts w:cs="Times New Roman"/>
      <w:kern w:val="2"/>
      <w:sz w:val="21"/>
      <w:szCs w:val="24"/>
    </w:rPr>
  </w:style>
  <w:style w:type="character" w:customStyle="1" w:styleId="Char1">
    <w:name w:val="批注主题 Char"/>
    <w:basedOn w:val="Char"/>
    <w:link w:val="a9"/>
    <w:qFormat/>
    <w:rPr>
      <w:rFonts w:cs="Times New Roman"/>
      <w:b/>
      <w:bCs/>
      <w:kern w:val="2"/>
      <w:sz w:val="21"/>
      <w:szCs w:val="24"/>
    </w:rPr>
  </w:style>
  <w:style w:type="character" w:customStyle="1" w:styleId="Char0">
    <w:name w:val="批注框文本 Char"/>
    <w:basedOn w:val="a0"/>
    <w:link w:val="a6"/>
    <w:qFormat/>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index61"/>
    <w:qFormat/>
    <w:pPr>
      <w:widowControl w:val="0"/>
      <w:jc w:val="both"/>
    </w:pPr>
    <w:rPr>
      <w:rFonts w:cs="Times New Roman"/>
      <w:kern w:val="2"/>
      <w:sz w:val="21"/>
      <w:szCs w:val="24"/>
    </w:rPr>
  </w:style>
  <w:style w:type="paragraph" w:styleId="1">
    <w:name w:val="heading 1"/>
    <w:basedOn w:val="a"/>
    <w:next w:val="a"/>
    <w:qFormat/>
    <w:pPr>
      <w:numPr>
        <w:numId w:val="1"/>
      </w:numPr>
      <w:tabs>
        <w:tab w:val="clear" w:pos="4691"/>
        <w:tab w:val="left" w:pos="4266"/>
      </w:tabs>
      <w:autoSpaceDE w:val="0"/>
      <w:autoSpaceDN w:val="0"/>
      <w:adjustRightInd w:val="0"/>
      <w:jc w:val="center"/>
      <w:outlineLvl w:val="0"/>
    </w:pPr>
    <w:rPr>
      <w:rFonts w:ascii="宋体" w:hAnsi="宋体" w:cs="宋体"/>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61">
    <w:name w:val="index 61"/>
    <w:basedOn w:val="a"/>
    <w:next w:val="a"/>
    <w:qFormat/>
    <w:pPr>
      <w:ind w:leftChars="1000" w:left="1000"/>
    </w:pPr>
    <w:rPr>
      <w:rFonts w:ascii="Calibri" w:hAnsi="Calibri"/>
    </w:rPr>
  </w:style>
  <w:style w:type="paragraph" w:styleId="a3">
    <w:name w:val="annotation text"/>
    <w:basedOn w:val="a"/>
    <w:link w:val="Char"/>
    <w:qFormat/>
    <w:pPr>
      <w:jc w:val="left"/>
    </w:pPr>
  </w:style>
  <w:style w:type="paragraph" w:styleId="a4">
    <w:name w:val="Body Text"/>
    <w:basedOn w:val="a"/>
    <w:uiPriority w:val="99"/>
    <w:unhideWhenUsed/>
    <w:qFormat/>
    <w:pPr>
      <w:snapToGrid w:val="0"/>
      <w:spacing w:line="360" w:lineRule="auto"/>
    </w:pPr>
    <w:rPr>
      <w:rFonts w:ascii="仿宋_GB2312" w:eastAsia="仿宋_GB2312"/>
      <w:sz w:val="24"/>
      <w:szCs w:val="20"/>
    </w:rPr>
  </w:style>
  <w:style w:type="paragraph" w:styleId="a5">
    <w:name w:val="Body Text Indent"/>
    <w:basedOn w:val="a"/>
    <w:qFormat/>
    <w:pPr>
      <w:autoSpaceDE w:val="0"/>
      <w:autoSpaceDN w:val="0"/>
      <w:adjustRightInd w:val="0"/>
      <w:spacing w:line="360" w:lineRule="auto"/>
      <w:ind w:firstLineChars="199" w:firstLine="478"/>
    </w:pPr>
    <w:rPr>
      <w:rFonts w:ascii="宋体" w:hAnsi="宋体"/>
      <w:kern w:val="0"/>
      <w:sz w:val="24"/>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b/>
      <w:bCs/>
      <w:caps/>
      <w:sz w:val="20"/>
      <w:szCs w:val="20"/>
    </w:rPr>
  </w:style>
  <w:style w:type="paragraph" w:styleId="a9">
    <w:name w:val="annotation subject"/>
    <w:basedOn w:val="a3"/>
    <w:next w:val="a3"/>
    <w:link w:val="Char1"/>
    <w:qFormat/>
    <w:rPr>
      <w:b/>
      <w:bCs/>
    </w:rPr>
  </w:style>
  <w:style w:type="paragraph" w:styleId="aa">
    <w:name w:val="Body Text First Indent"/>
    <w:basedOn w:val="a4"/>
    <w:next w:val="2"/>
    <w:uiPriority w:val="99"/>
    <w:unhideWhenUsed/>
    <w:qFormat/>
    <w:pPr>
      <w:adjustRightInd w:val="0"/>
      <w:spacing w:line="240" w:lineRule="atLeast"/>
      <w:ind w:firstLineChars="200" w:firstLine="976"/>
      <w:jc w:val="center"/>
    </w:pPr>
    <w:rPr>
      <w:rFonts w:eastAsia="彩虹黑体"/>
      <w:color w:val="FF0000"/>
      <w:spacing w:val="-20"/>
      <w:w w:val="90"/>
      <w:kern w:val="0"/>
      <w:sz w:val="28"/>
    </w:rPr>
  </w:style>
  <w:style w:type="paragraph" w:styleId="2">
    <w:name w:val="Body Text First Indent 2"/>
    <w:basedOn w:val="a5"/>
    <w:uiPriority w:val="99"/>
    <w:unhideWhenUsed/>
    <w:qFormat/>
    <w:pPr>
      <w:ind w:firstLineChars="200" w:firstLine="420"/>
    </w:pPr>
  </w:style>
  <w:style w:type="character" w:styleId="ab">
    <w:name w:val="page number"/>
    <w:qFormat/>
  </w:style>
  <w:style w:type="character" w:styleId="ac">
    <w:name w:val="Hyperlink"/>
    <w:uiPriority w:val="99"/>
    <w:qFormat/>
    <w:rPr>
      <w:color w:val="0000FF"/>
      <w:u w:val="single"/>
    </w:rPr>
  </w:style>
  <w:style w:type="character" w:styleId="ad">
    <w:name w:val="annotation reference"/>
    <w:basedOn w:val="a0"/>
    <w:qFormat/>
    <w:rPr>
      <w:sz w:val="21"/>
      <w:szCs w:val="21"/>
    </w:rPr>
  </w:style>
  <w:style w:type="character" w:customStyle="1" w:styleId="Char">
    <w:name w:val="批注文字 Char"/>
    <w:basedOn w:val="a0"/>
    <w:link w:val="a3"/>
    <w:rPr>
      <w:rFonts w:cs="Times New Roman"/>
      <w:kern w:val="2"/>
      <w:sz w:val="21"/>
      <w:szCs w:val="24"/>
    </w:rPr>
  </w:style>
  <w:style w:type="character" w:customStyle="1" w:styleId="Char1">
    <w:name w:val="批注主题 Char"/>
    <w:basedOn w:val="Char"/>
    <w:link w:val="a9"/>
    <w:qFormat/>
    <w:rPr>
      <w:rFonts w:cs="Times New Roman"/>
      <w:b/>
      <w:bCs/>
      <w:kern w:val="2"/>
      <w:sz w:val="21"/>
      <w:szCs w:val="24"/>
    </w:rPr>
  </w:style>
  <w:style w:type="character" w:customStyle="1" w:styleId="Char0">
    <w:name w:val="批注框文本 Char"/>
    <w:basedOn w:val="a0"/>
    <w:link w:val="a6"/>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赵双钰</dc:creator>
  <cp:lastModifiedBy>王琦</cp:lastModifiedBy>
  <cp:revision>6</cp:revision>
  <dcterms:created xsi:type="dcterms:W3CDTF">2022-06-20T01:51:00Z</dcterms:created>
  <dcterms:modified xsi:type="dcterms:W3CDTF">2024-11-14T01:24:00Z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D26532ECA6B8440F98AD977F97D692C9</vt:lpwstr>
  </property>
</Properties>
</file>