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31" w:rsidRPr="00140949" w:rsidRDefault="00140949" w:rsidP="00140949">
      <w:pPr>
        <w:pStyle w:val="a3"/>
        <w:ind w:leftChars="0" w:left="0"/>
        <w:jc w:val="center"/>
        <w:rPr>
          <w:b/>
          <w:sz w:val="30"/>
          <w:szCs w:val="30"/>
          <w:lang w:val="en-US"/>
        </w:rPr>
      </w:pPr>
      <w:r w:rsidRPr="00140949">
        <w:rPr>
          <w:b/>
          <w:sz w:val="30"/>
          <w:szCs w:val="30"/>
          <w:lang w:val="en-US"/>
        </w:rPr>
        <w:t>中国建设银行内蒙分行“乾元”保本型人民币理财产品201</w:t>
      </w:r>
      <w:r w:rsidR="00AD48B1">
        <w:rPr>
          <w:rFonts w:hint="eastAsia"/>
          <w:b/>
          <w:sz w:val="30"/>
          <w:szCs w:val="30"/>
          <w:lang w:val="en-US" w:eastAsia="zh-CN"/>
        </w:rPr>
        <w:t>6</w:t>
      </w:r>
      <w:r w:rsidRPr="00140949">
        <w:rPr>
          <w:b/>
          <w:sz w:val="30"/>
          <w:szCs w:val="30"/>
          <w:lang w:val="en-US"/>
        </w:rPr>
        <w:t>年第</w:t>
      </w:r>
      <w:r w:rsidR="00AC42A2">
        <w:rPr>
          <w:rFonts w:hint="eastAsia"/>
          <w:b/>
          <w:sz w:val="30"/>
          <w:szCs w:val="30"/>
          <w:lang w:val="en-US" w:eastAsia="zh-CN"/>
        </w:rPr>
        <w:t>50</w:t>
      </w:r>
      <w:r w:rsidRPr="00140949">
        <w:rPr>
          <w:b/>
          <w:sz w:val="30"/>
          <w:szCs w:val="30"/>
          <w:lang w:val="en-US"/>
        </w:rPr>
        <w:t>期</w:t>
      </w:r>
      <w:r w:rsidR="00443131">
        <w:rPr>
          <w:rFonts w:hint="eastAsia"/>
          <w:b/>
          <w:sz w:val="30"/>
          <w:szCs w:val="30"/>
        </w:rPr>
        <w:t>风险揭示书</w:t>
      </w:r>
    </w:p>
    <w:p w:rsidR="00443131" w:rsidRDefault="00443131" w:rsidP="00443131">
      <w:pPr>
        <w:pStyle w:val="a3"/>
        <w:tabs>
          <w:tab w:val="left" w:pos="720"/>
        </w:tabs>
        <w:spacing w:before="100" w:beforeAutospacing="1" w:after="0"/>
        <w:ind w:leftChars="0" w:left="0"/>
        <w:jc w:val="center"/>
        <w:rPr>
          <w:rFonts w:ascii="黑体" w:eastAsia="黑体"/>
          <w:b/>
          <w:szCs w:val="21"/>
        </w:rPr>
      </w:pPr>
      <w:r>
        <w:rPr>
          <w:rFonts w:ascii="黑体" w:eastAsia="黑体" w:hint="eastAsia"/>
          <w:b/>
          <w:szCs w:val="21"/>
        </w:rPr>
        <w:t>理财非存款、产品有风险、投资须谨慎。</w:t>
      </w:r>
    </w:p>
    <w:p w:rsidR="00443131" w:rsidRDefault="00443131" w:rsidP="00443131">
      <w:pPr>
        <w:pStyle w:val="a3"/>
        <w:tabs>
          <w:tab w:val="left" w:pos="720"/>
        </w:tabs>
        <w:spacing w:after="0"/>
        <w:ind w:leftChars="0" w:left="0"/>
        <w:jc w:val="center"/>
        <w:rPr>
          <w:b/>
          <w:sz w:val="30"/>
          <w:szCs w:val="30"/>
        </w:rPr>
      </w:pPr>
    </w:p>
    <w:p w:rsidR="00443131" w:rsidRDefault="00443131" w:rsidP="00443131">
      <w:pPr>
        <w:pStyle w:val="a3"/>
        <w:tabs>
          <w:tab w:val="left" w:pos="720"/>
        </w:tabs>
        <w:spacing w:before="100" w:beforeAutospacing="1" w:after="0"/>
        <w:ind w:leftChars="0" w:left="0"/>
        <w:rPr>
          <w:rFonts w:ascii="黑体" w:eastAsia="黑体"/>
          <w:szCs w:val="21"/>
        </w:rPr>
      </w:pPr>
      <w:r>
        <w:rPr>
          <w:rFonts w:ascii="黑体" w:eastAsia="黑体" w:hint="eastAsia"/>
          <w:szCs w:val="21"/>
        </w:rPr>
        <w:t>尊敬的客户：</w:t>
      </w:r>
    </w:p>
    <w:p w:rsidR="00443131" w:rsidRDefault="00443131" w:rsidP="00443131">
      <w:pPr>
        <w:pStyle w:val="a3"/>
        <w:tabs>
          <w:tab w:val="left" w:pos="720"/>
        </w:tabs>
        <w:spacing w:before="100" w:beforeAutospacing="1" w:after="0"/>
        <w:ind w:leftChars="0" w:left="0" w:firstLineChars="200" w:firstLine="400"/>
        <w:rPr>
          <w:rFonts w:ascii="黑体" w:eastAsia="黑体"/>
          <w:szCs w:val="21"/>
        </w:rPr>
      </w:pPr>
      <w:r>
        <w:rPr>
          <w:rFonts w:ascii="黑体" w:eastAsia="黑体" w:hint="eastAsia"/>
          <w:szCs w:val="21"/>
        </w:rPr>
        <w:t>理财产品存续期间将面临多种风险因素，根据中国银行业监督管理委员会相关监管规定的要求，中国建设银行郑重向您提示：</w:t>
      </w:r>
    </w:p>
    <w:p w:rsidR="00443131" w:rsidRDefault="00443131" w:rsidP="00D34478">
      <w:pPr>
        <w:pStyle w:val="a3"/>
        <w:tabs>
          <w:tab w:val="left" w:pos="720"/>
        </w:tabs>
        <w:spacing w:before="100" w:beforeAutospacing="1" w:after="0"/>
        <w:ind w:leftChars="0" w:left="0" w:firstLineChars="200" w:firstLine="402"/>
        <w:rPr>
          <w:rFonts w:ascii="黑体" w:eastAsia="黑体"/>
          <w:szCs w:val="21"/>
          <w:lang w:eastAsia="zh-CN"/>
        </w:rPr>
      </w:pPr>
      <w:r>
        <w:rPr>
          <w:rFonts w:ascii="黑体" w:eastAsia="黑体" w:hint="eastAsia"/>
          <w:b/>
          <w:szCs w:val="21"/>
        </w:rPr>
        <w:t>本期产品为保本浮动收益型理财产品。本理财产品有投资风险，只保障理财资金本金，不保证理财收益，您应当充分认识投资风险，谨慎投资。</w:t>
      </w:r>
      <w:r>
        <w:rPr>
          <w:rFonts w:ascii="黑体" w:eastAsia="黑体" w:hint="eastAsia"/>
          <w:szCs w:val="21"/>
        </w:rPr>
        <w:t>本期产品期限为</w:t>
      </w:r>
      <w:r w:rsidR="00973122">
        <w:rPr>
          <w:rFonts w:ascii="黑体" w:eastAsia="黑体" w:hint="eastAsia"/>
          <w:szCs w:val="21"/>
          <w:lang w:eastAsia="zh-CN"/>
        </w:rPr>
        <w:t>18</w:t>
      </w:r>
      <w:r w:rsidR="00E57CC6">
        <w:rPr>
          <w:rFonts w:ascii="黑体" w:eastAsia="黑体" w:hint="eastAsia"/>
          <w:szCs w:val="21"/>
          <w:lang w:eastAsia="zh-CN"/>
        </w:rPr>
        <w:t>0</w:t>
      </w:r>
      <w:r w:rsidRPr="0027184A">
        <w:rPr>
          <w:rFonts w:ascii="黑体" w:eastAsia="黑体" w:hint="eastAsia"/>
          <w:szCs w:val="21"/>
        </w:rPr>
        <w:t>天</w:t>
      </w:r>
      <w:r>
        <w:rPr>
          <w:rFonts w:ascii="黑体" w:eastAsia="黑体" w:hint="eastAsia"/>
          <w:szCs w:val="21"/>
        </w:rPr>
        <w:t>（中国建设银行有权对产品进行展期或提前终止）。本期产品内部风险评级级别为一盏警示灯</w:t>
      </w:r>
      <w:r w:rsidR="00AB6D48">
        <w:rPr>
          <w:rFonts w:ascii="黑体" w:eastAsia="黑体"/>
          <w:noProof/>
          <w:szCs w:val="21"/>
          <w:lang w:val="en-US" w:eastAsia="zh-CN"/>
        </w:rPr>
        <w:drawing>
          <wp:inline distT="0" distB="0" distL="0" distR="0">
            <wp:extent cx="123825" cy="1238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黑体" w:eastAsia="黑体" w:hint="eastAsia"/>
          <w:szCs w:val="21"/>
        </w:rPr>
        <w:t>，风险程度属于无风险或风险极低，适用于保守型、收益型、稳健型、进取型及积极进取型投资者。最不利情况下，客户只能收回投资本金，不能获得任何投资收益。</w:t>
      </w:r>
    </w:p>
    <w:p w:rsidR="00443131" w:rsidRDefault="00443131" w:rsidP="00443131">
      <w:pPr>
        <w:pStyle w:val="a3"/>
        <w:tabs>
          <w:tab w:val="left" w:pos="720"/>
        </w:tabs>
        <w:spacing w:before="100" w:beforeAutospacing="1" w:after="0"/>
        <w:ind w:leftChars="0" w:left="0" w:firstLineChars="200" w:firstLine="400"/>
        <w:rPr>
          <w:rFonts w:ascii="黑体" w:eastAsia="黑体"/>
          <w:szCs w:val="21"/>
        </w:rPr>
      </w:pPr>
      <w:r>
        <w:rPr>
          <w:rFonts w:ascii="黑体" w:eastAsia="黑体" w:hint="eastAsia"/>
          <w:szCs w:val="21"/>
        </w:rPr>
        <w:t>如影响您风险承受能力的因素发生变化，请及时完成风险承受能力评估。</w:t>
      </w:r>
    </w:p>
    <w:p w:rsidR="00443131" w:rsidRDefault="00443131" w:rsidP="00443131">
      <w:pPr>
        <w:pStyle w:val="a3"/>
        <w:tabs>
          <w:tab w:val="left" w:pos="720"/>
        </w:tabs>
        <w:spacing w:before="100" w:beforeAutospacing="1" w:after="0"/>
        <w:ind w:leftChars="0" w:left="0" w:firstLineChars="200" w:firstLine="400"/>
        <w:rPr>
          <w:rFonts w:ascii="黑体" w:eastAsia="黑体"/>
          <w:szCs w:val="21"/>
        </w:rPr>
      </w:pPr>
      <w:r>
        <w:rPr>
          <w:rFonts w:ascii="黑体" w:eastAsia="黑体" w:hint="eastAsia"/>
          <w:szCs w:val="21"/>
        </w:rPr>
        <w:t>中国建设银行内部风险评级说明如下：</w:t>
      </w:r>
    </w:p>
    <w:tbl>
      <w:tblPr>
        <w:tblW w:w="0" w:type="auto"/>
        <w:jc w:val="center"/>
        <w:tblLayout w:type="fixed"/>
        <w:tblCellMar>
          <w:left w:w="0" w:type="dxa"/>
          <w:right w:w="0" w:type="dxa"/>
        </w:tblCellMar>
        <w:tblLook w:val="0000"/>
      </w:tblPr>
      <w:tblGrid>
        <w:gridCol w:w="971"/>
        <w:gridCol w:w="1818"/>
        <w:gridCol w:w="1422"/>
        <w:gridCol w:w="3948"/>
      </w:tblGrid>
      <w:tr w:rsidR="00443131">
        <w:trPr>
          <w:trHeight w:val="20"/>
          <w:jc w:val="center"/>
        </w:trPr>
        <w:tc>
          <w:tcPr>
            <w:tcW w:w="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风险标识</w:t>
            </w:r>
          </w:p>
        </w:tc>
        <w:tc>
          <w:tcPr>
            <w:tcW w:w="1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风险水平</w:t>
            </w:r>
          </w:p>
        </w:tc>
        <w:tc>
          <w:tcPr>
            <w:tcW w:w="14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评级说明</w:t>
            </w:r>
          </w:p>
        </w:tc>
        <w:tc>
          <w:tcPr>
            <w:tcW w:w="3948" w:type="dxa"/>
            <w:tcBorders>
              <w:top w:val="single" w:sz="4" w:space="0" w:color="auto"/>
              <w:left w:val="nil"/>
              <w:bottom w:val="single" w:sz="4" w:space="0" w:color="auto"/>
              <w:right w:val="single" w:sz="4" w:space="0" w:color="auto"/>
            </w:tcBorders>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适用群体</w:t>
            </w:r>
          </w:p>
        </w:tc>
      </w:tr>
      <w:tr w:rsidR="00443131">
        <w:trPr>
          <w:trHeight w:val="20"/>
          <w:jc w:val="center"/>
        </w:trPr>
        <w:tc>
          <w:tcPr>
            <w:tcW w:w="97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43131" w:rsidRDefault="00AB6D48" w:rsidP="00443131">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无风险或风险极低</w:t>
            </w:r>
          </w:p>
        </w:tc>
        <w:tc>
          <w:tcPr>
            <w:tcW w:w="1422" w:type="dxa"/>
            <w:tcBorders>
              <w:top w:val="nil"/>
              <w:left w:val="nil"/>
              <w:bottom w:val="single" w:sz="4" w:space="0" w:color="auto"/>
              <w:right w:val="single" w:sz="4" w:space="0" w:color="auto"/>
            </w:tcBorders>
            <w:tcMar>
              <w:top w:w="15" w:type="dxa"/>
              <w:left w:w="15" w:type="dxa"/>
              <w:bottom w:w="0" w:type="dxa"/>
              <w:right w:w="15" w:type="dxa"/>
            </w:tcMar>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提供本金保护</w:t>
            </w:r>
          </w:p>
        </w:tc>
        <w:tc>
          <w:tcPr>
            <w:tcW w:w="3948" w:type="dxa"/>
            <w:tcBorders>
              <w:top w:val="nil"/>
              <w:left w:val="nil"/>
              <w:bottom w:val="single" w:sz="4" w:space="0" w:color="auto"/>
              <w:right w:val="single" w:sz="4" w:space="0" w:color="auto"/>
            </w:tcBorders>
            <w:vAlign w:val="center"/>
          </w:tcPr>
          <w:p w:rsidR="00443131" w:rsidRDefault="00443131" w:rsidP="00443131">
            <w:pPr>
              <w:spacing w:before="100" w:beforeAutospacing="1"/>
              <w:jc w:val="center"/>
              <w:rPr>
                <w:rFonts w:ascii="黑体" w:eastAsia="黑体" w:hAnsi="宋体"/>
                <w:szCs w:val="21"/>
              </w:rPr>
            </w:pPr>
            <w:r>
              <w:rPr>
                <w:rFonts w:ascii="黑体" w:eastAsia="黑体" w:hAnsi="宋体" w:hint="eastAsia"/>
                <w:szCs w:val="21"/>
              </w:rPr>
              <w:t>保守型、收益型、稳健型、进取型、积极进取型</w:t>
            </w:r>
          </w:p>
        </w:tc>
      </w:tr>
    </w:tbl>
    <w:p w:rsidR="00443131" w:rsidRDefault="00443131" w:rsidP="00443131">
      <w:pPr>
        <w:tabs>
          <w:tab w:val="left" w:pos="540"/>
        </w:tabs>
        <w:ind w:firstLineChars="200" w:firstLine="360"/>
        <w:rPr>
          <w:rFonts w:ascii="黑体" w:eastAsia="黑体" w:hAnsi="宋体"/>
          <w:sz w:val="18"/>
          <w:szCs w:val="18"/>
        </w:rPr>
      </w:pPr>
      <w:r>
        <w:rPr>
          <w:rFonts w:ascii="黑体" w:eastAsia="黑体" w:hAnsi="宋体" w:hint="eastAsia"/>
          <w:sz w:val="18"/>
          <w:szCs w:val="18"/>
        </w:rPr>
        <w:t>注：本风险评级为中国建设银行内部评级结果，该评级仅供参考，不具备法律效力。</w:t>
      </w:r>
    </w:p>
    <w:p w:rsidR="00443131" w:rsidRDefault="00443131" w:rsidP="00443131">
      <w:pPr>
        <w:pStyle w:val="a3"/>
        <w:tabs>
          <w:tab w:val="left" w:pos="720"/>
        </w:tabs>
        <w:spacing w:before="100" w:beforeAutospacing="1" w:after="0"/>
        <w:ind w:leftChars="0" w:left="0" w:firstLineChars="200" w:firstLine="400"/>
        <w:rPr>
          <w:rFonts w:ascii="黑体" w:eastAsia="黑体"/>
          <w:szCs w:val="21"/>
        </w:rPr>
      </w:pPr>
      <w:r>
        <w:rPr>
          <w:rFonts w:ascii="黑体" w:eastAsia="黑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2.信用风险：本期产品的基础资产项下义务人可能出现违约情形，则客户可能面临收益波动、甚至收益为零的风险。</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3.流动性风险：本期产品存续期内，客户无提前终止权，可能导致客户需要资金时不能随时变现，并可能使客户丧失其他投资机会的风险。</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lastRenderedPageBreak/>
        <w:t>4.市场风险：本期产品的基础资产价值受未来市场的不确定影响可能出现波动，从而导致客户收益波动、收益为零的情况。</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443131" w:rsidRDefault="00443131" w:rsidP="00443131">
      <w:pPr>
        <w:spacing w:before="100" w:beforeAutospacing="1"/>
        <w:ind w:firstLine="420"/>
        <w:rPr>
          <w:rFonts w:ascii="黑体" w:eastAsia="黑体" w:hAnsi="宋体"/>
          <w:szCs w:val="21"/>
        </w:rPr>
      </w:pPr>
      <w:r>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443131" w:rsidRDefault="00443131" w:rsidP="00443131">
      <w:pPr>
        <w:spacing w:before="100" w:beforeAutospacing="1"/>
        <w:ind w:firstLine="420"/>
        <w:rPr>
          <w:rFonts w:ascii="黑体" w:eastAsia="黑体" w:hAnsi="宋体"/>
          <w:szCs w:val="21"/>
        </w:rPr>
      </w:pPr>
      <w:r>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w:t>
      </w:r>
      <w:r>
        <w:rPr>
          <w:rFonts w:ascii="黑体" w:eastAsia="黑体" w:hAnsi="宋体" w:hint="eastAsia"/>
          <w:szCs w:val="21"/>
        </w:rPr>
        <w:t>（申）</w:t>
      </w:r>
      <w:r>
        <w:rPr>
          <w:rFonts w:ascii="黑体" w:eastAsia="黑体" w:hint="eastAsia"/>
          <w:bCs/>
          <w:iCs/>
          <w:szCs w:val="21"/>
        </w:rPr>
        <w:t>购本产品的决定。</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443131" w:rsidRDefault="00443131" w:rsidP="00443131">
      <w:pPr>
        <w:spacing w:before="100" w:beforeAutospacing="1"/>
        <w:ind w:firstLineChars="200" w:firstLine="420"/>
        <w:rPr>
          <w:rFonts w:ascii="黑体" w:eastAsia="黑体"/>
          <w:bCs/>
          <w:iCs/>
          <w:szCs w:val="21"/>
        </w:rPr>
      </w:pPr>
    </w:p>
    <w:p w:rsidR="00443131" w:rsidRDefault="00443131" w:rsidP="00443131">
      <w:pPr>
        <w:spacing w:before="100" w:beforeAutospacing="1"/>
        <w:ind w:firstLineChars="200" w:firstLine="422"/>
        <w:jc w:val="right"/>
        <w:rPr>
          <w:rFonts w:ascii="黑体" w:eastAsia="黑体"/>
          <w:b/>
          <w:bCs/>
          <w:iCs/>
          <w:szCs w:val="21"/>
        </w:rPr>
      </w:pPr>
      <w:r>
        <w:rPr>
          <w:rFonts w:ascii="黑体" w:eastAsia="黑体" w:hint="eastAsia"/>
          <w:b/>
          <w:bCs/>
          <w:iCs/>
          <w:szCs w:val="21"/>
        </w:rPr>
        <w:t>风险揭示方：中国建设银行</w:t>
      </w:r>
    </w:p>
    <w:p w:rsidR="00443131" w:rsidRDefault="00443131" w:rsidP="00443131">
      <w:pPr>
        <w:spacing w:before="100" w:beforeAutospacing="1"/>
        <w:ind w:firstLineChars="200" w:firstLine="420"/>
        <w:rPr>
          <w:rFonts w:ascii="黑体" w:eastAsia="黑体"/>
          <w:bCs/>
          <w:iCs/>
          <w:szCs w:val="21"/>
        </w:rPr>
      </w:pPr>
      <w:r>
        <w:rPr>
          <w:rFonts w:ascii="黑体" w:eastAsia="黑体" w:hint="eastAsia"/>
          <w:bCs/>
          <w:iCs/>
          <w:szCs w:val="21"/>
        </w:rPr>
        <w:t>(客户签字与盖章见下一页)</w:t>
      </w:r>
    </w:p>
    <w:p w:rsidR="00443131" w:rsidRDefault="00443131" w:rsidP="00443131">
      <w:pPr>
        <w:pStyle w:val="a3"/>
        <w:tabs>
          <w:tab w:val="left" w:pos="720"/>
        </w:tabs>
        <w:spacing w:before="100" w:beforeAutospacing="1" w:after="0"/>
        <w:ind w:leftChars="0" w:left="0"/>
        <w:rPr>
          <w:szCs w:val="21"/>
        </w:rPr>
      </w:pPr>
      <w:r>
        <w:rPr>
          <w:rFonts w:ascii="黑体" w:eastAsia="黑体"/>
          <w:bCs/>
          <w:iCs/>
          <w:szCs w:val="21"/>
        </w:rPr>
        <w:br w:type="page"/>
      </w:r>
      <w:r>
        <w:rPr>
          <w:rFonts w:hint="eastAsia"/>
          <w:szCs w:val="21"/>
        </w:rPr>
        <w:lastRenderedPageBreak/>
        <w:t>个人客户请在下面填写您的风险承受能力评级、抄录风险揭示语句并签字：</w:t>
      </w:r>
    </w:p>
    <w:p w:rsidR="00443131" w:rsidRDefault="00443131" w:rsidP="00443131">
      <w:pPr>
        <w:pStyle w:val="a3"/>
        <w:tabs>
          <w:tab w:val="left" w:pos="720"/>
        </w:tabs>
        <w:spacing w:before="100" w:beforeAutospacing="1" w:after="0"/>
        <w:ind w:leftChars="0" w:left="0"/>
        <w:rPr>
          <w:szCs w:val="21"/>
        </w:rPr>
      </w:pPr>
      <w:r>
        <w:rPr>
          <w:szCs w:val="21"/>
        </w:rPr>
        <w:pict>
          <v:rect id="_x0000_s1028" style="position:absolute;left:0;text-align:left;margin-left:-9.75pt;margin-top:15.4pt;width:432.75pt;height:374.25pt;z-index:-251658752"/>
        </w:pict>
      </w:r>
    </w:p>
    <w:p w:rsidR="00443131" w:rsidRDefault="00443131" w:rsidP="00443131">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443131" w:rsidRDefault="00443131" w:rsidP="00443131">
      <w:pPr>
        <w:pStyle w:val="Default"/>
        <w:rPr>
          <w:rFonts w:ascii="宋体" w:eastAsia="宋体" w:hAnsi="宋体"/>
          <w:sz w:val="21"/>
          <w:szCs w:val="21"/>
        </w:rPr>
      </w:pPr>
    </w:p>
    <w:p w:rsidR="00443131" w:rsidRDefault="00443131" w:rsidP="00443131">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Pr>
          <w:rFonts w:ascii="宋体" w:eastAsia="宋体" w:hAnsi="宋体" w:hint="eastAsia"/>
          <w:sz w:val="21"/>
          <w:szCs w:val="21"/>
        </w:rPr>
        <w:t>（由客户自行填写）</w:t>
      </w:r>
    </w:p>
    <w:p w:rsidR="00443131" w:rsidRDefault="00443131" w:rsidP="00443131">
      <w:pPr>
        <w:pStyle w:val="a3"/>
        <w:ind w:leftChars="0" w:left="0"/>
        <w:rPr>
          <w:rFonts w:cs="楷体_GB2312"/>
          <w:bCs/>
          <w:iCs/>
          <w:szCs w:val="21"/>
        </w:rPr>
      </w:pPr>
      <w:r>
        <w:rPr>
          <w:rFonts w:cs="楷体_GB2312" w:hint="eastAsia"/>
          <w:bCs/>
          <w:iCs/>
          <w:szCs w:val="21"/>
        </w:rPr>
        <w:t xml:space="preserve">    </w:t>
      </w:r>
    </w:p>
    <w:p w:rsidR="00443131" w:rsidRDefault="00443131" w:rsidP="00443131">
      <w:pPr>
        <w:pStyle w:val="a3"/>
        <w:tabs>
          <w:tab w:val="left" w:pos="720"/>
        </w:tabs>
        <w:spacing w:before="100" w:beforeAutospacing="1" w:after="0"/>
        <w:ind w:leftChars="0" w:left="0"/>
        <w:rPr>
          <w:szCs w:val="21"/>
        </w:rPr>
      </w:pPr>
      <w:r>
        <w:rPr>
          <w:rFonts w:hint="eastAsia"/>
          <w:szCs w:val="21"/>
        </w:rPr>
        <w:t>根据监管部门的要求，为确保客户充分理解本产品的风险，请在确认栏抄录以下语句并签名：</w:t>
      </w:r>
    </w:p>
    <w:p w:rsidR="00443131" w:rsidRDefault="00443131" w:rsidP="00443131">
      <w:pPr>
        <w:pStyle w:val="a3"/>
        <w:tabs>
          <w:tab w:val="left" w:pos="720"/>
        </w:tabs>
        <w:spacing w:before="100" w:beforeAutospacing="1" w:after="0"/>
        <w:ind w:leftChars="0" w:left="0"/>
        <w:rPr>
          <w:b/>
          <w:sz w:val="32"/>
          <w:szCs w:val="32"/>
        </w:rPr>
      </w:pPr>
      <w:r>
        <w:rPr>
          <w:rFonts w:hint="eastAsia"/>
          <w:b/>
          <w:sz w:val="32"/>
          <w:szCs w:val="32"/>
        </w:rPr>
        <w:t>本人已经阅读风险揭示，愿意承担投资风险。</w:t>
      </w:r>
    </w:p>
    <w:p w:rsidR="00443131" w:rsidRDefault="00443131" w:rsidP="00443131">
      <w:pPr>
        <w:pStyle w:val="a3"/>
        <w:tabs>
          <w:tab w:val="left" w:pos="720"/>
        </w:tabs>
        <w:spacing w:before="100" w:beforeAutospacing="1" w:after="0"/>
        <w:ind w:leftChars="0" w:left="0"/>
        <w:rPr>
          <w:szCs w:val="21"/>
        </w:rPr>
      </w:pPr>
    </w:p>
    <w:p w:rsidR="00443131" w:rsidRDefault="00443131" w:rsidP="00443131">
      <w:pPr>
        <w:pStyle w:val="a3"/>
        <w:tabs>
          <w:tab w:val="left" w:pos="720"/>
        </w:tabs>
        <w:spacing w:before="100" w:beforeAutospacing="1" w:after="0"/>
        <w:ind w:leftChars="0" w:left="0"/>
        <w:rPr>
          <w:szCs w:val="21"/>
        </w:rPr>
      </w:pPr>
      <w:r>
        <w:rPr>
          <w:rFonts w:hint="eastAsia"/>
          <w:szCs w:val="21"/>
        </w:rPr>
        <w:t>客户抄录：_____________________________________________________________________</w:t>
      </w:r>
    </w:p>
    <w:p w:rsidR="00443131" w:rsidRDefault="00443131" w:rsidP="00443131">
      <w:pPr>
        <w:pStyle w:val="a3"/>
        <w:tabs>
          <w:tab w:val="left" w:pos="720"/>
        </w:tabs>
        <w:spacing w:before="100" w:beforeAutospacing="1" w:after="0"/>
        <w:ind w:leftChars="0" w:left="0"/>
        <w:rPr>
          <w:szCs w:val="21"/>
        </w:rPr>
      </w:pPr>
      <w:r>
        <w:rPr>
          <w:rFonts w:hint="eastAsia"/>
          <w:szCs w:val="21"/>
        </w:rPr>
        <w:t xml:space="preserve">客户签名：______________________________________（客户声明：投资决策完全是由客户独立、自主、谨慎做出的。客户已经阅读客户权益须知、本期产品风险揭示书、本期产品说明书及客户协议书所有条款（包括背面），充分理解并自愿承担本产品相关风险。） </w:t>
      </w:r>
    </w:p>
    <w:p w:rsidR="00443131" w:rsidRDefault="00443131" w:rsidP="00443131">
      <w:pPr>
        <w:pStyle w:val="a3"/>
        <w:tabs>
          <w:tab w:val="left" w:pos="720"/>
        </w:tabs>
        <w:spacing w:before="100" w:beforeAutospacing="1" w:after="0"/>
        <w:ind w:leftChars="0" w:left="0"/>
        <w:rPr>
          <w:szCs w:val="21"/>
        </w:rPr>
      </w:pPr>
    </w:p>
    <w:p w:rsidR="00443131" w:rsidRDefault="00443131" w:rsidP="00443131">
      <w:pPr>
        <w:pStyle w:val="a3"/>
        <w:tabs>
          <w:tab w:val="left" w:pos="720"/>
        </w:tabs>
        <w:spacing w:before="100" w:beforeAutospacing="1" w:after="0"/>
        <w:ind w:leftChars="0" w:left="0"/>
        <w:jc w:val="right"/>
        <w:rPr>
          <w:szCs w:val="21"/>
        </w:rPr>
      </w:pPr>
      <w:r>
        <w:rPr>
          <w:rFonts w:hint="eastAsia"/>
          <w:szCs w:val="21"/>
        </w:rPr>
        <w:t xml:space="preserve">   年      月      日</w:t>
      </w:r>
    </w:p>
    <w:p w:rsidR="000D771E" w:rsidRDefault="000D771E" w:rsidP="000D771E">
      <w:pPr>
        <w:pStyle w:val="a3"/>
        <w:tabs>
          <w:tab w:val="left" w:pos="720"/>
        </w:tabs>
        <w:spacing w:before="100" w:beforeAutospacing="1" w:after="0"/>
        <w:ind w:leftChars="0" w:left="0"/>
        <w:rPr>
          <w:rFonts w:ascii="彩虹黑体" w:eastAsia="彩虹黑体" w:hint="eastAsia"/>
          <w:b/>
          <w:sz w:val="32"/>
          <w:szCs w:val="32"/>
          <w:lang w:eastAsia="zh-CN"/>
        </w:rPr>
      </w:pPr>
    </w:p>
    <w:p w:rsidR="00443131" w:rsidRDefault="00443131" w:rsidP="00443131">
      <w:pPr>
        <w:pStyle w:val="a3"/>
        <w:tabs>
          <w:tab w:val="left" w:pos="720"/>
        </w:tabs>
        <w:jc w:val="center"/>
        <w:rPr>
          <w:rFonts w:hint="eastAsia"/>
          <w:b/>
          <w:sz w:val="30"/>
          <w:szCs w:val="30"/>
          <w:lang w:eastAsia="zh-CN"/>
        </w:rPr>
      </w:pPr>
    </w:p>
    <w:p w:rsidR="000D771E" w:rsidRDefault="000D771E" w:rsidP="00443131">
      <w:pPr>
        <w:pStyle w:val="a3"/>
        <w:tabs>
          <w:tab w:val="left" w:pos="720"/>
        </w:tabs>
        <w:jc w:val="center"/>
        <w:rPr>
          <w:rFonts w:hint="eastAsia"/>
          <w:b/>
          <w:sz w:val="30"/>
          <w:szCs w:val="30"/>
          <w:lang w:eastAsia="zh-CN"/>
        </w:rPr>
      </w:pPr>
    </w:p>
    <w:p w:rsidR="000D771E" w:rsidRDefault="000D771E" w:rsidP="00443131">
      <w:pPr>
        <w:pStyle w:val="a3"/>
        <w:tabs>
          <w:tab w:val="left" w:pos="720"/>
        </w:tabs>
        <w:jc w:val="center"/>
        <w:rPr>
          <w:rFonts w:hint="eastAsia"/>
          <w:b/>
          <w:sz w:val="30"/>
          <w:szCs w:val="30"/>
          <w:lang w:eastAsia="zh-CN"/>
        </w:rPr>
      </w:pPr>
    </w:p>
    <w:p w:rsidR="00CD0E59" w:rsidRDefault="00CD0E59" w:rsidP="00443131">
      <w:pPr>
        <w:pStyle w:val="a3"/>
        <w:tabs>
          <w:tab w:val="left" w:pos="720"/>
        </w:tabs>
        <w:jc w:val="center"/>
        <w:rPr>
          <w:rFonts w:hint="eastAsia"/>
          <w:b/>
          <w:sz w:val="30"/>
          <w:szCs w:val="30"/>
          <w:lang w:eastAsia="zh-CN"/>
        </w:rPr>
      </w:pPr>
    </w:p>
    <w:p w:rsidR="00CD0E59" w:rsidRDefault="00CD0E59" w:rsidP="00443131">
      <w:pPr>
        <w:pStyle w:val="a3"/>
        <w:tabs>
          <w:tab w:val="left" w:pos="720"/>
        </w:tabs>
        <w:jc w:val="center"/>
        <w:rPr>
          <w:rFonts w:hint="eastAsia"/>
          <w:b/>
          <w:sz w:val="30"/>
          <w:szCs w:val="30"/>
          <w:lang w:eastAsia="zh-CN"/>
        </w:rPr>
      </w:pPr>
    </w:p>
    <w:p w:rsidR="00CD0E59" w:rsidRDefault="00CD0E59" w:rsidP="00443131">
      <w:pPr>
        <w:pStyle w:val="a3"/>
        <w:tabs>
          <w:tab w:val="left" w:pos="720"/>
        </w:tabs>
        <w:jc w:val="center"/>
        <w:rPr>
          <w:rFonts w:hint="eastAsia"/>
          <w:b/>
          <w:sz w:val="30"/>
          <w:szCs w:val="30"/>
          <w:lang w:eastAsia="zh-CN"/>
        </w:rPr>
      </w:pPr>
    </w:p>
    <w:p w:rsidR="000D771E" w:rsidRPr="005F2F42" w:rsidRDefault="000D771E" w:rsidP="00CD0E59">
      <w:pPr>
        <w:pStyle w:val="a3"/>
        <w:tabs>
          <w:tab w:val="left" w:pos="720"/>
        </w:tabs>
        <w:ind w:leftChars="0" w:left="0"/>
        <w:rPr>
          <w:rFonts w:hint="eastAsia"/>
          <w:b/>
          <w:sz w:val="30"/>
          <w:szCs w:val="30"/>
          <w:lang w:eastAsia="zh-CN"/>
        </w:rPr>
      </w:pPr>
    </w:p>
    <w:p w:rsidR="003C42BD" w:rsidRDefault="00050501" w:rsidP="00861A53">
      <w:pPr>
        <w:pStyle w:val="a3"/>
        <w:tabs>
          <w:tab w:val="left" w:pos="720"/>
        </w:tabs>
        <w:ind w:leftChars="0" w:left="0"/>
        <w:jc w:val="center"/>
        <w:rPr>
          <w:rFonts w:hint="eastAsia"/>
          <w:b/>
          <w:sz w:val="30"/>
          <w:szCs w:val="30"/>
        </w:rPr>
      </w:pPr>
      <w:r w:rsidRPr="00050501">
        <w:rPr>
          <w:rFonts w:hint="eastAsia"/>
          <w:b/>
          <w:sz w:val="30"/>
          <w:szCs w:val="30"/>
        </w:rPr>
        <w:lastRenderedPageBreak/>
        <w:t>中国建设银行内蒙分行“乾元”保本型人民币理财产品201</w:t>
      </w:r>
      <w:r w:rsidR="00596949">
        <w:rPr>
          <w:rFonts w:hint="eastAsia"/>
          <w:b/>
          <w:sz w:val="30"/>
          <w:szCs w:val="30"/>
          <w:lang w:eastAsia="zh-CN"/>
        </w:rPr>
        <w:t>6</w:t>
      </w:r>
      <w:r w:rsidRPr="00050501">
        <w:rPr>
          <w:rFonts w:hint="eastAsia"/>
          <w:b/>
          <w:sz w:val="30"/>
          <w:szCs w:val="30"/>
        </w:rPr>
        <w:t>年第</w:t>
      </w:r>
      <w:r w:rsidR="00973122">
        <w:rPr>
          <w:rFonts w:hint="eastAsia"/>
          <w:b/>
          <w:sz w:val="30"/>
          <w:szCs w:val="30"/>
          <w:lang w:eastAsia="zh-CN"/>
        </w:rPr>
        <w:t>50</w:t>
      </w:r>
      <w:r w:rsidRPr="00050501">
        <w:rPr>
          <w:rFonts w:hint="eastAsia"/>
          <w:b/>
          <w:sz w:val="30"/>
          <w:szCs w:val="30"/>
        </w:rPr>
        <w:t>期</w:t>
      </w:r>
      <w:r w:rsidR="003C42BD">
        <w:rPr>
          <w:rFonts w:hint="eastAsia"/>
          <w:b/>
          <w:sz w:val="30"/>
          <w:szCs w:val="30"/>
        </w:rPr>
        <w:t>说明书</w:t>
      </w:r>
    </w:p>
    <w:p w:rsidR="003C42BD" w:rsidRDefault="003C42BD" w:rsidP="003C42BD">
      <w:pPr>
        <w:pStyle w:val="a3"/>
        <w:tabs>
          <w:tab w:val="left" w:pos="720"/>
        </w:tabs>
        <w:spacing w:line="240" w:lineRule="exact"/>
        <w:rPr>
          <w:rFonts w:ascii="黑体" w:eastAsia="黑体" w:hAnsi="黑体" w:hint="eastAsia"/>
          <w:b/>
          <w:sz w:val="18"/>
          <w:szCs w:val="18"/>
        </w:rPr>
      </w:pPr>
    </w:p>
    <w:p w:rsidR="003C42BD" w:rsidRDefault="003C42BD" w:rsidP="003C42BD">
      <w:pPr>
        <w:pStyle w:val="a3"/>
        <w:tabs>
          <w:tab w:val="left" w:pos="720"/>
        </w:tabs>
        <w:spacing w:line="240" w:lineRule="exact"/>
        <w:ind w:firstLineChars="200" w:firstLine="402"/>
        <w:outlineLvl w:val="0"/>
        <w:rPr>
          <w:rFonts w:ascii="黑体" w:eastAsia="黑体" w:hAnsi="黑体" w:hint="eastAsia"/>
          <w:b/>
          <w:szCs w:val="21"/>
        </w:rPr>
      </w:pPr>
      <w:r>
        <w:rPr>
          <w:rFonts w:ascii="黑体" w:eastAsia="黑体" w:hAnsi="黑体" w:hint="eastAsia"/>
          <w:b/>
          <w:szCs w:val="21"/>
        </w:rPr>
        <w:t>一、产品要素</w:t>
      </w:r>
    </w:p>
    <w:tbl>
      <w:tblPr>
        <w:tblW w:w="0" w:type="auto"/>
        <w:jc w:val="center"/>
        <w:tblLayout w:type="fixed"/>
        <w:tblCellMar>
          <w:left w:w="0" w:type="dxa"/>
          <w:right w:w="0" w:type="dxa"/>
        </w:tblCellMar>
        <w:tblLook w:val="0000"/>
      </w:tblPr>
      <w:tblGrid>
        <w:gridCol w:w="1532"/>
        <w:gridCol w:w="6637"/>
      </w:tblGrid>
      <w:tr w:rsidR="003C42BD">
        <w:trPr>
          <w:cantSplit/>
          <w:trHeight w:val="315"/>
          <w:jc w:val="center"/>
        </w:trPr>
        <w:tc>
          <w:tcPr>
            <w:tcW w:w="153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产品名称</w:t>
            </w:r>
          </w:p>
        </w:tc>
        <w:tc>
          <w:tcPr>
            <w:tcW w:w="6637"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3C42BD" w:rsidRPr="00387E26" w:rsidRDefault="00387E26" w:rsidP="00973122">
            <w:pPr>
              <w:adjustRightInd w:val="0"/>
              <w:snapToGrid w:val="0"/>
              <w:jc w:val="center"/>
              <w:rPr>
                <w:rFonts w:ascii="宋体" w:hAnsi="宋体"/>
                <w:sz w:val="18"/>
                <w:szCs w:val="18"/>
              </w:rPr>
            </w:pPr>
            <w:r w:rsidRPr="00387E26">
              <w:rPr>
                <w:rFonts w:ascii="宋体" w:hAnsi="宋体"/>
                <w:sz w:val="18"/>
                <w:szCs w:val="18"/>
              </w:rPr>
              <w:t>中国建设银行内蒙分行“乾元”保本型人民币理财产品201</w:t>
            </w:r>
            <w:r w:rsidR="00754A7E">
              <w:rPr>
                <w:rFonts w:ascii="宋体" w:hAnsi="宋体" w:hint="eastAsia"/>
                <w:sz w:val="18"/>
                <w:szCs w:val="18"/>
              </w:rPr>
              <w:t>6</w:t>
            </w:r>
            <w:r w:rsidRPr="00387E26">
              <w:rPr>
                <w:rFonts w:ascii="宋体" w:hAnsi="宋体"/>
                <w:sz w:val="18"/>
                <w:szCs w:val="18"/>
              </w:rPr>
              <w:t>年第</w:t>
            </w:r>
            <w:r w:rsidR="00973122">
              <w:rPr>
                <w:rFonts w:ascii="宋体" w:hAnsi="宋体" w:hint="eastAsia"/>
                <w:sz w:val="18"/>
                <w:szCs w:val="18"/>
              </w:rPr>
              <w:t>50</w:t>
            </w:r>
            <w:r w:rsidRPr="00387E26">
              <w:rPr>
                <w:rFonts w:ascii="宋体" w:hAnsi="宋体"/>
                <w:sz w:val="18"/>
                <w:szCs w:val="18"/>
              </w:rPr>
              <w:t>期</w:t>
            </w:r>
          </w:p>
        </w:tc>
      </w:tr>
      <w:tr w:rsidR="003C42BD">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973122" w:rsidP="007625DE">
            <w:pPr>
              <w:adjustRightInd w:val="0"/>
              <w:snapToGrid w:val="0"/>
              <w:jc w:val="center"/>
              <w:rPr>
                <w:rFonts w:ascii="宋体" w:hAnsi="宋体"/>
                <w:sz w:val="18"/>
                <w:szCs w:val="18"/>
              </w:rPr>
            </w:pPr>
            <w:r w:rsidRPr="00973122">
              <w:rPr>
                <w:rFonts w:ascii="宋体" w:hAnsi="宋体"/>
                <w:sz w:val="18"/>
                <w:szCs w:val="18"/>
              </w:rPr>
              <w:t>NM012016050062D01</w:t>
            </w:r>
          </w:p>
        </w:tc>
      </w:tr>
      <w:tr w:rsidR="007625DE">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625DE" w:rsidRDefault="007625DE">
            <w:pPr>
              <w:adjustRightInd w:val="0"/>
              <w:snapToGrid w:val="0"/>
              <w:jc w:val="center"/>
              <w:rPr>
                <w:rFonts w:ascii="宋体" w:hAnsi="宋体" w:hint="eastAsia"/>
                <w:sz w:val="18"/>
                <w:szCs w:val="18"/>
              </w:rPr>
            </w:pPr>
            <w:r w:rsidRPr="0030524A">
              <w:rPr>
                <w:rFonts w:ascii="宋体" w:hAnsi="宋体" w:hint="eastAsia"/>
                <w:sz w:val="18"/>
                <w:szCs w:val="18"/>
              </w:rPr>
              <w:t>全国银行业理财信息登记系统编号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7625DE" w:rsidRPr="005520A2" w:rsidRDefault="00797E5B" w:rsidP="005520A2">
            <w:pPr>
              <w:jc w:val="center"/>
              <w:rPr>
                <w:rFonts w:ascii="Arial" w:hAnsi="Arial" w:cs="Arial"/>
                <w:sz w:val="20"/>
                <w:szCs w:val="20"/>
              </w:rPr>
            </w:pPr>
            <w:r w:rsidRPr="00797E5B">
              <w:rPr>
                <w:rFonts w:ascii="宋体" w:hAnsi="宋体"/>
                <w:sz w:val="18"/>
                <w:szCs w:val="18"/>
              </w:rPr>
              <w:t>C1010516003164</w:t>
            </w:r>
          </w:p>
        </w:tc>
      </w:tr>
      <w:tr w:rsidR="003C42BD">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产品类型</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b/>
                <w:sz w:val="18"/>
                <w:szCs w:val="18"/>
              </w:rPr>
            </w:pPr>
            <w:r>
              <w:rPr>
                <w:rFonts w:ascii="宋体" w:hAnsi="宋体" w:hint="eastAsia"/>
                <w:b/>
                <w:sz w:val="18"/>
                <w:szCs w:val="18"/>
              </w:rPr>
              <w:t>保本浮动收益型产品</w:t>
            </w:r>
          </w:p>
        </w:tc>
      </w:tr>
      <w:tr w:rsidR="003C42BD">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目标客户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3C42BD" w:rsidP="001C13AF">
            <w:pPr>
              <w:adjustRightInd w:val="0"/>
              <w:snapToGrid w:val="0"/>
              <w:jc w:val="center"/>
              <w:rPr>
                <w:rFonts w:ascii="宋体" w:hAnsi="宋体"/>
                <w:b/>
                <w:sz w:val="18"/>
                <w:szCs w:val="18"/>
              </w:rPr>
            </w:pPr>
            <w:r>
              <w:rPr>
                <w:rFonts w:ascii="宋体" w:hAnsi="宋体" w:hint="eastAsia"/>
                <w:sz w:val="18"/>
                <w:szCs w:val="18"/>
              </w:rPr>
              <w:t>保守型、收益型、稳健型、进取型、积极进取型</w:t>
            </w:r>
            <w:r w:rsidR="00472E0F">
              <w:rPr>
                <w:rFonts w:ascii="宋体" w:hAnsi="宋体" w:hint="eastAsia"/>
                <w:sz w:val="18"/>
                <w:szCs w:val="18"/>
              </w:rPr>
              <w:t>个人</w:t>
            </w:r>
            <w:r w:rsidR="005D7302">
              <w:rPr>
                <w:rFonts w:ascii="宋体" w:hAnsi="宋体" w:hint="eastAsia"/>
                <w:sz w:val="18"/>
                <w:szCs w:val="18"/>
              </w:rPr>
              <w:t>客户</w:t>
            </w:r>
          </w:p>
        </w:tc>
      </w:tr>
      <w:tr w:rsidR="003C42BD">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内部风险评级</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AB6D48">
            <w:pPr>
              <w:adjustRightInd w:val="0"/>
              <w:snapToGrid w:val="0"/>
              <w:jc w:val="center"/>
              <w:rPr>
                <w:rFonts w:ascii="宋体" w:hAnsi="宋体"/>
                <w:color w:val="FF0000"/>
                <w:sz w:val="18"/>
                <w:szCs w:val="18"/>
              </w:rPr>
            </w:pPr>
            <w:r>
              <w:rPr>
                <w:rFonts w:ascii="宋体" w:hAnsi="宋体"/>
                <w:noProof/>
                <w:sz w:val="18"/>
                <w:szCs w:val="18"/>
              </w:rPr>
              <w:drawing>
                <wp:inline distT="0" distB="0" distL="0" distR="0">
                  <wp:extent cx="190500" cy="1905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C42BD">
              <w:rPr>
                <w:rFonts w:ascii="宋体" w:hAnsi="宋体" w:hint="eastAsia"/>
                <w:sz w:val="18"/>
                <w:szCs w:val="18"/>
              </w:rPr>
              <w:t>（一盏警示灯）</w:t>
            </w:r>
          </w:p>
        </w:tc>
      </w:tr>
      <w:tr w:rsidR="003C42BD">
        <w:trPr>
          <w:cantSplit/>
          <w:trHeight w:val="315"/>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本金及收益币种</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人民币</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产品规模</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Pr="00D65D51" w:rsidRDefault="003C42BD" w:rsidP="008B6660">
            <w:pPr>
              <w:jc w:val="center"/>
              <w:rPr>
                <w:sz w:val="18"/>
                <w:szCs w:val="18"/>
              </w:rPr>
            </w:pPr>
            <w:r>
              <w:rPr>
                <w:rFonts w:hint="eastAsia"/>
                <w:sz w:val="18"/>
                <w:szCs w:val="18"/>
              </w:rPr>
              <w:t>产品规模上限为</w:t>
            </w:r>
            <w:r w:rsidR="008B6660">
              <w:rPr>
                <w:rFonts w:ascii="宋体" w:hAnsi="宋体" w:hint="eastAsia"/>
                <w:sz w:val="18"/>
                <w:szCs w:val="18"/>
              </w:rPr>
              <w:t>5</w:t>
            </w:r>
            <w:r w:rsidR="008B44E7">
              <w:rPr>
                <w:rFonts w:ascii="宋体" w:hAnsi="宋体" w:hint="eastAsia"/>
                <w:sz w:val="18"/>
                <w:szCs w:val="18"/>
              </w:rPr>
              <w:t>亿</w:t>
            </w:r>
            <w:r w:rsidR="0048075C">
              <w:rPr>
                <w:rFonts w:ascii="宋体" w:hAnsi="宋体" w:hint="eastAsia"/>
                <w:sz w:val="18"/>
                <w:szCs w:val="18"/>
              </w:rPr>
              <w:t>元</w:t>
            </w:r>
            <w:r>
              <w:rPr>
                <w:rFonts w:hint="eastAsia"/>
                <w:sz w:val="18"/>
                <w:szCs w:val="18"/>
              </w:rPr>
              <w:t>，下限为</w:t>
            </w:r>
            <w:r w:rsidR="00AE28FB">
              <w:rPr>
                <w:rFonts w:ascii="宋体" w:hAnsi="宋体" w:hint="eastAsia"/>
                <w:sz w:val="18"/>
                <w:szCs w:val="18"/>
              </w:rPr>
              <w:t>100</w:t>
            </w:r>
            <w:r w:rsidR="00D518AF">
              <w:rPr>
                <w:rFonts w:ascii="宋体" w:hAnsi="宋体" w:hint="eastAsia"/>
                <w:sz w:val="18"/>
                <w:szCs w:val="18"/>
              </w:rPr>
              <w:t>万</w:t>
            </w:r>
            <w:r>
              <w:rPr>
                <w:rFonts w:hint="eastAsia"/>
                <w:sz w:val="18"/>
                <w:szCs w:val="18"/>
              </w:rPr>
              <w:t>元。</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客户预期</w:t>
            </w:r>
          </w:p>
          <w:p w:rsidR="003C42BD" w:rsidRDefault="003C42BD">
            <w:pPr>
              <w:adjustRightInd w:val="0"/>
              <w:snapToGrid w:val="0"/>
              <w:jc w:val="center"/>
              <w:rPr>
                <w:rFonts w:ascii="宋体" w:hAnsi="宋体"/>
                <w:sz w:val="18"/>
                <w:szCs w:val="18"/>
              </w:rPr>
            </w:pPr>
            <w:r>
              <w:rPr>
                <w:rFonts w:ascii="宋体" w:hAnsi="宋体" w:hint="eastAsia"/>
                <w:sz w:val="18"/>
                <w:szCs w:val="18"/>
              </w:rPr>
              <w:t>年化收益率</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594D17" w:rsidRPr="00594D17" w:rsidRDefault="00AA312D" w:rsidP="00352360">
            <w:pPr>
              <w:jc w:val="center"/>
              <w:rPr>
                <w:rFonts w:ascii="宋体" w:hAnsi="宋体"/>
                <w:sz w:val="18"/>
                <w:szCs w:val="18"/>
              </w:rPr>
            </w:pPr>
            <w:r>
              <w:rPr>
                <w:rFonts w:ascii="宋体" w:hAnsi="宋体" w:hint="eastAsia"/>
                <w:sz w:val="18"/>
                <w:szCs w:val="18"/>
              </w:rPr>
              <w:t>2.60</w:t>
            </w:r>
            <w:r w:rsidR="00B74882" w:rsidRPr="00252FA4">
              <w:rPr>
                <w:rFonts w:ascii="宋体" w:hAnsi="宋体" w:hint="eastAsia"/>
                <w:sz w:val="18"/>
                <w:szCs w:val="18"/>
              </w:rPr>
              <w:t>%</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产品募集期</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80E87" w:rsidRDefault="003C42BD" w:rsidP="00380E87">
            <w:pPr>
              <w:jc w:val="center"/>
              <w:rPr>
                <w:rFonts w:ascii="宋体" w:hAnsi="宋体" w:hint="eastAsia"/>
                <w:sz w:val="18"/>
                <w:szCs w:val="18"/>
              </w:rPr>
            </w:pPr>
            <w:r>
              <w:rPr>
                <w:rFonts w:ascii="宋体" w:hAnsi="宋体" w:hint="eastAsia"/>
                <w:sz w:val="18"/>
                <w:szCs w:val="18"/>
              </w:rPr>
              <w:t>201</w:t>
            </w:r>
            <w:r w:rsidR="009003DB">
              <w:rPr>
                <w:rFonts w:ascii="宋体" w:hAnsi="宋体" w:hint="eastAsia"/>
                <w:sz w:val="18"/>
                <w:szCs w:val="18"/>
              </w:rPr>
              <w:t>6</w:t>
            </w:r>
            <w:r>
              <w:rPr>
                <w:rFonts w:ascii="宋体" w:hAnsi="宋体" w:hint="eastAsia"/>
                <w:sz w:val="18"/>
                <w:szCs w:val="18"/>
              </w:rPr>
              <w:t>年</w:t>
            </w:r>
            <w:r w:rsidR="00AA312D">
              <w:rPr>
                <w:rFonts w:ascii="宋体" w:hAnsi="宋体" w:hint="eastAsia"/>
                <w:sz w:val="18"/>
                <w:szCs w:val="18"/>
              </w:rPr>
              <w:t>5</w:t>
            </w:r>
            <w:r>
              <w:rPr>
                <w:rFonts w:ascii="宋体" w:hAnsi="宋体" w:hint="eastAsia"/>
                <w:sz w:val="18"/>
                <w:szCs w:val="18"/>
              </w:rPr>
              <w:t>月</w:t>
            </w:r>
            <w:r w:rsidR="00AA312D">
              <w:rPr>
                <w:rFonts w:ascii="宋体" w:hAnsi="宋体" w:hint="eastAsia"/>
                <w:sz w:val="18"/>
                <w:szCs w:val="18"/>
              </w:rPr>
              <w:t>27</w:t>
            </w:r>
            <w:r>
              <w:rPr>
                <w:rFonts w:ascii="宋体" w:hAnsi="宋体" w:hint="eastAsia"/>
                <w:sz w:val="18"/>
                <w:szCs w:val="18"/>
              </w:rPr>
              <w:t>日</w:t>
            </w:r>
            <w:r w:rsidR="00AA312D">
              <w:rPr>
                <w:rFonts w:ascii="宋体" w:hAnsi="宋体" w:hint="eastAsia"/>
                <w:sz w:val="18"/>
                <w:szCs w:val="18"/>
              </w:rPr>
              <w:t>14:30</w:t>
            </w:r>
            <w:r w:rsidR="001172EF">
              <w:rPr>
                <w:rFonts w:ascii="宋体" w:hAnsi="宋体" w:hint="eastAsia"/>
                <w:sz w:val="18"/>
                <w:szCs w:val="18"/>
              </w:rPr>
              <w:t>至201</w:t>
            </w:r>
            <w:r w:rsidR="009003DB">
              <w:rPr>
                <w:rFonts w:ascii="宋体" w:hAnsi="宋体" w:hint="eastAsia"/>
                <w:sz w:val="18"/>
                <w:szCs w:val="18"/>
              </w:rPr>
              <w:t>6</w:t>
            </w:r>
            <w:r w:rsidR="001172EF">
              <w:rPr>
                <w:rFonts w:ascii="宋体" w:hAnsi="宋体" w:hint="eastAsia"/>
                <w:sz w:val="18"/>
                <w:szCs w:val="18"/>
              </w:rPr>
              <w:t>年</w:t>
            </w:r>
            <w:r w:rsidR="00AA312D">
              <w:rPr>
                <w:rFonts w:ascii="宋体" w:hAnsi="宋体" w:hint="eastAsia"/>
                <w:sz w:val="18"/>
                <w:szCs w:val="18"/>
              </w:rPr>
              <w:t>5</w:t>
            </w:r>
            <w:r w:rsidR="001172EF">
              <w:rPr>
                <w:rFonts w:ascii="宋体" w:hAnsi="宋体" w:hint="eastAsia"/>
                <w:sz w:val="18"/>
                <w:szCs w:val="18"/>
              </w:rPr>
              <w:t>月</w:t>
            </w:r>
            <w:r w:rsidR="00AA312D">
              <w:rPr>
                <w:rFonts w:ascii="宋体" w:hAnsi="宋体" w:hint="eastAsia"/>
                <w:sz w:val="18"/>
                <w:szCs w:val="18"/>
              </w:rPr>
              <w:t>31</w:t>
            </w:r>
            <w:r w:rsidR="001172EF">
              <w:rPr>
                <w:rFonts w:ascii="宋体" w:hAnsi="宋体" w:hint="eastAsia"/>
                <w:sz w:val="18"/>
                <w:szCs w:val="18"/>
              </w:rPr>
              <w:t>日</w:t>
            </w:r>
            <w:r w:rsidR="00E56DCD">
              <w:rPr>
                <w:rFonts w:ascii="宋体" w:hAnsi="宋体" w:hint="eastAsia"/>
                <w:sz w:val="18"/>
                <w:szCs w:val="18"/>
              </w:rPr>
              <w:t>17:30</w:t>
            </w:r>
          </w:p>
          <w:p w:rsidR="003C42BD" w:rsidRDefault="003C42BD" w:rsidP="00380E87">
            <w:pPr>
              <w:jc w:val="center"/>
              <w:rPr>
                <w:rFonts w:ascii="宋体" w:hAnsi="宋体"/>
                <w:b/>
                <w:sz w:val="18"/>
                <w:szCs w:val="18"/>
              </w:rPr>
            </w:pPr>
            <w:r>
              <w:rPr>
                <w:rFonts w:ascii="宋体" w:hAnsi="宋体" w:hint="eastAsia"/>
                <w:b/>
                <w:sz w:val="18"/>
                <w:szCs w:val="18"/>
              </w:rPr>
              <w:t>产品募集期内，客户将认购资金缴存至客户指定账户之日起至本产品成立日（不含）期间，客户可获得认购资金的活期存款利息。募集期内的利息不计入投资本金。</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产品收益及</w:t>
            </w:r>
          </w:p>
          <w:p w:rsidR="003C42BD" w:rsidRDefault="003C42BD">
            <w:pPr>
              <w:jc w:val="center"/>
              <w:rPr>
                <w:rFonts w:ascii="宋体" w:hAnsi="宋体"/>
                <w:sz w:val="18"/>
                <w:szCs w:val="18"/>
              </w:rPr>
            </w:pPr>
            <w:r>
              <w:rPr>
                <w:rFonts w:ascii="宋体" w:hAnsi="宋体" w:hint="eastAsia"/>
                <w:sz w:val="18"/>
                <w:szCs w:val="18"/>
              </w:rPr>
              <w:t>计息规则</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bottom"/>
          </w:tcPr>
          <w:p w:rsidR="003C42BD" w:rsidRDefault="003C42BD">
            <w:pPr>
              <w:jc w:val="left"/>
              <w:rPr>
                <w:rFonts w:ascii="宋体" w:hAnsi="宋体"/>
                <w:sz w:val="18"/>
                <w:szCs w:val="18"/>
              </w:rPr>
            </w:pPr>
            <w:r>
              <w:rPr>
                <w:rFonts w:ascii="宋体" w:hAnsi="宋体" w:hint="eastAsia"/>
                <w:sz w:val="18"/>
                <w:szCs w:val="18"/>
              </w:rPr>
              <w:t>1.根据客户的投资本金、每笔投资本金的投资天数及实际的年化收益率计算收益；</w:t>
            </w:r>
          </w:p>
          <w:p w:rsidR="003C42BD" w:rsidRDefault="003C42BD">
            <w:pPr>
              <w:jc w:val="left"/>
              <w:rPr>
                <w:rFonts w:ascii="宋体" w:hAnsi="宋体"/>
                <w:sz w:val="18"/>
                <w:szCs w:val="18"/>
              </w:rPr>
            </w:pPr>
            <w:r>
              <w:rPr>
                <w:rFonts w:ascii="宋体" w:hAnsi="宋体" w:hint="eastAsia"/>
                <w:sz w:val="18"/>
                <w:szCs w:val="18"/>
              </w:rPr>
              <w:t>2.募集期内按照活期存款利率计息，募集期内的利息不计入投资本金。</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adjustRightInd w:val="0"/>
              <w:snapToGrid w:val="0"/>
              <w:jc w:val="center"/>
              <w:rPr>
                <w:rFonts w:ascii="宋体" w:hAnsi="宋体"/>
                <w:sz w:val="18"/>
                <w:szCs w:val="18"/>
              </w:rPr>
            </w:pPr>
            <w:r>
              <w:rPr>
                <w:rFonts w:ascii="宋体" w:hAnsi="宋体" w:hint="eastAsia"/>
                <w:sz w:val="18"/>
                <w:szCs w:val="18"/>
              </w:rPr>
              <w:t>产品成立日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A67BFE" w:rsidP="00AA312D">
            <w:pPr>
              <w:adjustRightInd w:val="0"/>
              <w:snapToGrid w:val="0"/>
              <w:jc w:val="center"/>
              <w:rPr>
                <w:rFonts w:ascii="宋体" w:hAnsi="宋体"/>
                <w:sz w:val="18"/>
                <w:szCs w:val="18"/>
              </w:rPr>
            </w:pPr>
            <w:r>
              <w:rPr>
                <w:rFonts w:ascii="宋体" w:hAnsi="宋体" w:hint="eastAsia"/>
                <w:sz w:val="18"/>
                <w:szCs w:val="18"/>
              </w:rPr>
              <w:t>201</w:t>
            </w:r>
            <w:r w:rsidR="009003DB">
              <w:rPr>
                <w:rFonts w:ascii="宋体" w:hAnsi="宋体" w:hint="eastAsia"/>
                <w:sz w:val="18"/>
                <w:szCs w:val="18"/>
              </w:rPr>
              <w:t>6</w:t>
            </w:r>
            <w:r w:rsidR="00BD6840">
              <w:rPr>
                <w:rFonts w:ascii="宋体" w:hAnsi="宋体" w:hint="eastAsia"/>
                <w:sz w:val="18"/>
                <w:szCs w:val="18"/>
              </w:rPr>
              <w:t>年</w:t>
            </w:r>
            <w:r w:rsidR="00AA312D">
              <w:rPr>
                <w:rFonts w:ascii="宋体" w:hAnsi="宋体" w:hint="eastAsia"/>
                <w:sz w:val="18"/>
                <w:szCs w:val="18"/>
              </w:rPr>
              <w:t>6</w:t>
            </w:r>
            <w:r w:rsidR="00BD6840">
              <w:rPr>
                <w:rFonts w:ascii="宋体" w:hAnsi="宋体" w:hint="eastAsia"/>
                <w:sz w:val="18"/>
                <w:szCs w:val="18"/>
              </w:rPr>
              <w:t>月</w:t>
            </w:r>
            <w:r w:rsidR="00E96412">
              <w:rPr>
                <w:rFonts w:ascii="宋体" w:hAnsi="宋体" w:hint="eastAsia"/>
                <w:sz w:val="18"/>
                <w:szCs w:val="18"/>
              </w:rPr>
              <w:t>1</w:t>
            </w:r>
            <w:r w:rsidR="00BD6840">
              <w:rPr>
                <w:rFonts w:ascii="宋体" w:hAnsi="宋体" w:hint="eastAsia"/>
                <w:sz w:val="18"/>
                <w:szCs w:val="18"/>
              </w:rPr>
              <w:t>日</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产品期限</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AA312D" w:rsidP="0024394B">
            <w:pPr>
              <w:jc w:val="center"/>
              <w:rPr>
                <w:rFonts w:ascii="宋体" w:hAnsi="宋体"/>
                <w:sz w:val="18"/>
                <w:szCs w:val="18"/>
              </w:rPr>
            </w:pPr>
            <w:r>
              <w:rPr>
                <w:rFonts w:ascii="宋体" w:hAnsi="宋体" w:hint="eastAsia"/>
                <w:sz w:val="18"/>
                <w:szCs w:val="18"/>
              </w:rPr>
              <w:t>18</w:t>
            </w:r>
            <w:r w:rsidR="0024394B">
              <w:rPr>
                <w:rFonts w:ascii="宋体" w:hAnsi="宋体" w:hint="eastAsia"/>
                <w:sz w:val="18"/>
                <w:szCs w:val="18"/>
              </w:rPr>
              <w:t>0</w:t>
            </w:r>
            <w:r w:rsidR="003C42BD" w:rsidRPr="00E9000B">
              <w:rPr>
                <w:rFonts w:ascii="宋体" w:hAnsi="宋体" w:hint="eastAsia"/>
                <w:sz w:val="18"/>
                <w:szCs w:val="18"/>
              </w:rPr>
              <w:t>天</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产品到期日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41415B" w:rsidP="0024394B">
            <w:pPr>
              <w:jc w:val="center"/>
              <w:rPr>
                <w:rFonts w:ascii="宋体" w:hAnsi="宋体"/>
                <w:sz w:val="18"/>
                <w:szCs w:val="18"/>
              </w:rPr>
            </w:pPr>
            <w:r>
              <w:rPr>
                <w:rFonts w:ascii="宋体" w:hAnsi="宋体" w:hint="eastAsia"/>
                <w:sz w:val="18"/>
                <w:szCs w:val="18"/>
              </w:rPr>
              <w:t>201</w:t>
            </w:r>
            <w:r w:rsidR="000D46E2">
              <w:rPr>
                <w:rFonts w:ascii="宋体" w:hAnsi="宋体" w:hint="eastAsia"/>
                <w:sz w:val="18"/>
                <w:szCs w:val="18"/>
              </w:rPr>
              <w:t>6</w:t>
            </w:r>
            <w:r>
              <w:rPr>
                <w:rFonts w:ascii="宋体" w:hAnsi="宋体" w:hint="eastAsia"/>
                <w:sz w:val="18"/>
                <w:szCs w:val="18"/>
              </w:rPr>
              <w:t>年</w:t>
            </w:r>
            <w:r w:rsidR="0024394B">
              <w:rPr>
                <w:rFonts w:ascii="宋体" w:hAnsi="宋体" w:hint="eastAsia"/>
                <w:sz w:val="18"/>
                <w:szCs w:val="18"/>
              </w:rPr>
              <w:t>11</w:t>
            </w:r>
            <w:r>
              <w:rPr>
                <w:rFonts w:ascii="宋体" w:hAnsi="宋体" w:hint="eastAsia"/>
                <w:sz w:val="18"/>
                <w:szCs w:val="18"/>
              </w:rPr>
              <w:t>月</w:t>
            </w:r>
            <w:r w:rsidR="0024394B">
              <w:rPr>
                <w:rFonts w:ascii="宋体" w:hAnsi="宋体" w:hint="eastAsia"/>
                <w:sz w:val="18"/>
                <w:szCs w:val="18"/>
              </w:rPr>
              <w:t>28</w:t>
            </w:r>
            <w:r>
              <w:rPr>
                <w:rFonts w:ascii="宋体" w:hAnsi="宋体" w:hint="eastAsia"/>
                <w:sz w:val="18"/>
                <w:szCs w:val="18"/>
              </w:rPr>
              <w:t>日</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认购起点金额</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B35BFE" w:rsidRPr="00BF5638" w:rsidRDefault="003F5337" w:rsidP="00502BCF">
            <w:pPr>
              <w:jc w:val="center"/>
              <w:rPr>
                <w:rFonts w:ascii="宋体" w:hAnsi="宋体"/>
                <w:sz w:val="18"/>
                <w:szCs w:val="18"/>
              </w:rPr>
            </w:pPr>
            <w:r>
              <w:rPr>
                <w:rFonts w:ascii="宋体" w:hAnsi="宋体" w:hint="eastAsia"/>
                <w:sz w:val="18"/>
                <w:szCs w:val="18"/>
              </w:rPr>
              <w:t>个人</w:t>
            </w:r>
            <w:r w:rsidR="003C42BD">
              <w:rPr>
                <w:rFonts w:ascii="宋体" w:hAnsi="宋体" w:hint="eastAsia"/>
                <w:sz w:val="18"/>
                <w:szCs w:val="18"/>
              </w:rPr>
              <w:t>客户购买的起点金额为</w:t>
            </w:r>
            <w:r>
              <w:rPr>
                <w:rFonts w:ascii="宋体" w:hAnsi="宋体" w:hint="eastAsia"/>
                <w:sz w:val="18"/>
                <w:szCs w:val="18"/>
              </w:rPr>
              <w:t>5</w:t>
            </w:r>
            <w:r w:rsidR="003C42BD">
              <w:rPr>
                <w:rFonts w:ascii="宋体" w:hAnsi="宋体" w:hint="eastAsia"/>
                <w:sz w:val="18"/>
                <w:szCs w:val="18"/>
              </w:rPr>
              <w:t>万元</w:t>
            </w:r>
            <w:r w:rsidR="00765F9D">
              <w:rPr>
                <w:rFonts w:ascii="宋体" w:hAnsi="宋体" w:hint="eastAsia"/>
                <w:sz w:val="18"/>
                <w:szCs w:val="18"/>
              </w:rPr>
              <w:t>，</w:t>
            </w:r>
            <w:r w:rsidR="003C42BD">
              <w:rPr>
                <w:rFonts w:ascii="宋体" w:hAnsi="宋体" w:hint="eastAsia"/>
                <w:sz w:val="18"/>
                <w:szCs w:val="18"/>
              </w:rPr>
              <w:t>以1</w:t>
            </w:r>
            <w:r w:rsidR="003F2757">
              <w:rPr>
                <w:rFonts w:ascii="宋体" w:hAnsi="宋体" w:hint="eastAsia"/>
                <w:sz w:val="18"/>
                <w:szCs w:val="18"/>
              </w:rPr>
              <w:t>千</w:t>
            </w:r>
            <w:r w:rsidR="003C42BD">
              <w:rPr>
                <w:rFonts w:ascii="宋体" w:hAnsi="宋体" w:hint="eastAsia"/>
                <w:sz w:val="18"/>
                <w:szCs w:val="18"/>
              </w:rPr>
              <w:t>元的整数倍递增。</w:t>
            </w:r>
          </w:p>
        </w:tc>
      </w:tr>
      <w:tr w:rsidR="003C42BD">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销售地区</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内蒙古区分行</w:t>
            </w:r>
          </w:p>
        </w:tc>
      </w:tr>
      <w:tr w:rsidR="003C42BD">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附属条款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3C42BD" w:rsidRDefault="003C42BD" w:rsidP="001B5E8C">
            <w:pPr>
              <w:ind w:firstLineChars="500" w:firstLine="900"/>
              <w:jc w:val="left"/>
              <w:rPr>
                <w:rFonts w:ascii="宋体" w:hAnsi="宋体"/>
                <w:sz w:val="18"/>
                <w:szCs w:val="18"/>
              </w:rPr>
            </w:pPr>
            <w:r>
              <w:rPr>
                <w:rFonts w:ascii="宋体" w:hAnsi="宋体" w:hint="eastAsia"/>
                <w:sz w:val="18"/>
                <w:szCs w:val="18"/>
              </w:rPr>
              <w:t>单个客户无最高投资限额，但是不能超过本产品规模上限。</w:t>
            </w:r>
          </w:p>
          <w:p w:rsidR="003C42BD" w:rsidRDefault="003C42BD">
            <w:pPr>
              <w:jc w:val="center"/>
              <w:rPr>
                <w:rFonts w:ascii="宋体" w:hAnsi="宋体"/>
                <w:b/>
                <w:sz w:val="18"/>
                <w:szCs w:val="18"/>
              </w:rPr>
            </w:pPr>
            <w:r>
              <w:rPr>
                <w:rFonts w:ascii="宋体" w:hAnsi="宋体" w:hint="eastAsia"/>
                <w:b/>
                <w:sz w:val="18"/>
                <w:szCs w:val="18"/>
              </w:rPr>
              <w:t>中国建设银行可根据需要对这一条款进行调整，并至少于新条款启用之前2个工作日公布。</w:t>
            </w:r>
          </w:p>
        </w:tc>
      </w:tr>
      <w:tr w:rsidR="003C42BD">
        <w:trPr>
          <w:cantSplit/>
          <w:trHeight w:val="37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税款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中国建设银行不负责代扣代缴客户购买本产品的所得税款。</w:t>
            </w:r>
          </w:p>
        </w:tc>
      </w:tr>
      <w:tr w:rsidR="003C42BD">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3C42BD" w:rsidRDefault="003C42BD">
            <w:pPr>
              <w:jc w:val="center"/>
              <w:rPr>
                <w:rFonts w:ascii="宋体" w:hAnsi="宋体"/>
                <w:sz w:val="18"/>
                <w:szCs w:val="18"/>
              </w:rPr>
            </w:pPr>
            <w:r>
              <w:rPr>
                <w:rFonts w:ascii="宋体" w:hAnsi="宋体" w:hint="eastAsia"/>
                <w:sz w:val="18"/>
                <w:szCs w:val="18"/>
              </w:rPr>
              <w:t>其他</w:t>
            </w: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3C42BD" w:rsidRDefault="003C42BD">
            <w:pPr>
              <w:jc w:val="center"/>
              <w:rPr>
                <w:rFonts w:ascii="宋体" w:hAnsi="宋体"/>
                <w:b/>
                <w:sz w:val="18"/>
                <w:szCs w:val="18"/>
              </w:rPr>
            </w:pPr>
            <w:r>
              <w:rPr>
                <w:rFonts w:ascii="宋体" w:hAnsi="宋体" w:hint="eastAsia"/>
                <w:sz w:val="18"/>
                <w:szCs w:val="18"/>
              </w:rPr>
              <w:t>本产品不具备质押等担保附属功能。</w:t>
            </w:r>
          </w:p>
        </w:tc>
      </w:tr>
    </w:tbl>
    <w:p w:rsidR="003C42BD" w:rsidRDefault="003C42BD" w:rsidP="003C42BD">
      <w:pPr>
        <w:pStyle w:val="a3"/>
        <w:tabs>
          <w:tab w:val="left" w:pos="720"/>
        </w:tabs>
        <w:spacing w:line="240" w:lineRule="exact"/>
        <w:rPr>
          <w:rFonts w:ascii="黑体" w:eastAsia="黑体" w:hint="eastAsia"/>
          <w:b/>
          <w:szCs w:val="21"/>
        </w:rPr>
      </w:pPr>
    </w:p>
    <w:p w:rsidR="003C42BD" w:rsidRDefault="003C42BD" w:rsidP="003C42BD">
      <w:pPr>
        <w:pStyle w:val="a3"/>
        <w:tabs>
          <w:tab w:val="left" w:pos="720"/>
        </w:tabs>
        <w:spacing w:line="240" w:lineRule="exact"/>
        <w:rPr>
          <w:rFonts w:ascii="黑体" w:eastAsia="黑体" w:hint="eastAsia"/>
          <w:b/>
          <w:szCs w:val="21"/>
        </w:rPr>
      </w:pPr>
    </w:p>
    <w:p w:rsidR="003C42BD" w:rsidRDefault="003C42BD" w:rsidP="004C03DA">
      <w:pPr>
        <w:pStyle w:val="a3"/>
        <w:tabs>
          <w:tab w:val="left" w:pos="720"/>
        </w:tabs>
        <w:outlineLvl w:val="0"/>
        <w:rPr>
          <w:rFonts w:ascii="黑体" w:eastAsia="黑体" w:hint="eastAsia"/>
          <w:b/>
          <w:szCs w:val="21"/>
        </w:rPr>
      </w:pPr>
      <w:r>
        <w:rPr>
          <w:rFonts w:ascii="黑体" w:eastAsia="黑体" w:hint="eastAsia"/>
          <w:b/>
          <w:szCs w:val="21"/>
        </w:rPr>
        <w:t>二、投资管理</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（一）投资范围</w:t>
      </w:r>
    </w:p>
    <w:p w:rsidR="003C42BD" w:rsidRDefault="003C42BD" w:rsidP="003C42BD">
      <w:pPr>
        <w:ind w:firstLineChars="200" w:firstLine="360"/>
        <w:rPr>
          <w:rFonts w:ascii="宋体" w:hint="eastAsia"/>
          <w:sz w:val="18"/>
          <w:szCs w:val="18"/>
        </w:rPr>
      </w:pPr>
      <w:r>
        <w:rPr>
          <w:rFonts w:ascii="宋体" w:hint="eastAsia"/>
          <w:sz w:val="18"/>
          <w:szCs w:val="18"/>
        </w:rPr>
        <w:t>中国建设银行内蒙分行“乾元”保本型人民币理财产品将在中国建设银行指定多家下属分支机构销售，本期产品募集资金投资于同业存款等符合监管机构要求的其他投资工具。</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（二）投资团队</w:t>
      </w:r>
    </w:p>
    <w:p w:rsidR="003C42BD" w:rsidRDefault="003C42BD" w:rsidP="003C42BD">
      <w:pPr>
        <w:ind w:firstLineChars="200" w:firstLine="360"/>
        <w:rPr>
          <w:rFonts w:ascii="宋体" w:hint="eastAsia"/>
          <w:sz w:val="18"/>
          <w:szCs w:val="18"/>
        </w:rPr>
      </w:pPr>
      <w:r>
        <w:rPr>
          <w:rFonts w:ascii="宋体" w:hint="eastAsia"/>
          <w:sz w:val="18"/>
          <w:szCs w:val="18"/>
        </w:rPr>
        <w:t>中国建设银行是国有控股商业银行之一，拥有专业化的银行理财产品投资管理团队和丰富的投资经验。</w:t>
      </w:r>
      <w:r>
        <w:rPr>
          <w:rFonts w:ascii="宋体" w:hint="eastAsia"/>
          <w:sz w:val="18"/>
          <w:szCs w:val="18"/>
        </w:rPr>
        <w:lastRenderedPageBreak/>
        <w:t>中国建设银行秉承稳健经营的传统，发挥自身优势，为产品运作管理提供专业的投资管理服务，力争帮助客户实现收益。</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（三）参与主体</w:t>
      </w:r>
    </w:p>
    <w:p w:rsidR="00550B04" w:rsidRDefault="00550B04" w:rsidP="00550B04">
      <w:pPr>
        <w:autoSpaceDE w:val="0"/>
        <w:autoSpaceDN w:val="0"/>
        <w:adjustRightInd w:val="0"/>
        <w:ind w:firstLine="360"/>
        <w:rPr>
          <w:rFonts w:ascii="宋体" w:cs="宋体" w:hint="eastAsia"/>
          <w:kern w:val="0"/>
          <w:sz w:val="18"/>
          <w:szCs w:val="18"/>
        </w:rPr>
      </w:pPr>
      <w:r>
        <w:rPr>
          <w:rFonts w:ascii="宋体" w:cs="宋体" w:hint="eastAsia"/>
          <w:color w:val="000000"/>
          <w:kern w:val="0"/>
          <w:sz w:val="18"/>
          <w:szCs w:val="18"/>
        </w:rPr>
        <w:t>理财产品管理人：中国建设银</w:t>
      </w:r>
      <w:r>
        <w:rPr>
          <w:rFonts w:ascii="宋体" w:cs="宋体" w:hint="eastAsia"/>
          <w:kern w:val="0"/>
          <w:sz w:val="18"/>
          <w:szCs w:val="18"/>
        </w:rPr>
        <w:t>行内蒙分行</w:t>
      </w:r>
    </w:p>
    <w:p w:rsidR="00550B04" w:rsidRDefault="00550B04" w:rsidP="00550B04">
      <w:pPr>
        <w:autoSpaceDE w:val="0"/>
        <w:autoSpaceDN w:val="0"/>
        <w:adjustRightInd w:val="0"/>
        <w:ind w:firstLine="360"/>
        <w:rPr>
          <w:rFonts w:ascii="宋体" w:cs="宋体" w:hint="eastAsia"/>
          <w:kern w:val="0"/>
          <w:sz w:val="18"/>
          <w:szCs w:val="18"/>
        </w:rPr>
      </w:pPr>
      <w:r>
        <w:rPr>
          <w:rFonts w:ascii="宋体" w:cs="宋体" w:hint="eastAsia"/>
          <w:kern w:val="0"/>
          <w:sz w:val="18"/>
          <w:szCs w:val="18"/>
        </w:rPr>
        <w:t>理财产品托管人：中国建设银行内蒙分行</w:t>
      </w:r>
    </w:p>
    <w:p w:rsidR="00550B04" w:rsidRPr="00C3717A" w:rsidRDefault="00550B04" w:rsidP="00550B04">
      <w:pPr>
        <w:ind w:firstLineChars="200" w:firstLine="360"/>
        <w:rPr>
          <w:rFonts w:ascii="宋体" w:hint="eastAsia"/>
          <w:sz w:val="18"/>
          <w:szCs w:val="18"/>
        </w:rPr>
      </w:pPr>
      <w:r w:rsidRPr="00C3717A">
        <w:rPr>
          <w:rFonts w:ascii="宋体" w:hint="eastAsia"/>
          <w:sz w:val="18"/>
          <w:szCs w:val="18"/>
        </w:rPr>
        <w:t>资金信托委托人：</w:t>
      </w:r>
      <w:r w:rsidRPr="00C3717A">
        <w:rPr>
          <w:rFonts w:ascii="宋体" w:cs="宋体" w:hint="eastAsia"/>
          <w:kern w:val="0"/>
          <w:sz w:val="18"/>
          <w:szCs w:val="18"/>
        </w:rPr>
        <w:t>中国建设银行</w:t>
      </w:r>
      <w:r>
        <w:rPr>
          <w:rFonts w:ascii="宋体" w:cs="宋体" w:hint="eastAsia"/>
          <w:kern w:val="0"/>
          <w:sz w:val="18"/>
          <w:szCs w:val="18"/>
        </w:rPr>
        <w:t>内蒙</w:t>
      </w:r>
      <w:r w:rsidRPr="00C3717A">
        <w:rPr>
          <w:rFonts w:ascii="宋体" w:cs="宋体" w:hint="eastAsia"/>
          <w:kern w:val="0"/>
          <w:sz w:val="18"/>
          <w:szCs w:val="18"/>
        </w:rPr>
        <w:t>分行</w:t>
      </w:r>
    </w:p>
    <w:p w:rsidR="00550B04" w:rsidRPr="00C3717A" w:rsidRDefault="00550B04" w:rsidP="00550B04">
      <w:pPr>
        <w:ind w:firstLineChars="200" w:firstLine="360"/>
        <w:rPr>
          <w:rFonts w:ascii="宋体" w:hint="eastAsia"/>
          <w:sz w:val="18"/>
          <w:szCs w:val="18"/>
        </w:rPr>
      </w:pPr>
      <w:r w:rsidRPr="00C3717A">
        <w:rPr>
          <w:rFonts w:ascii="宋体" w:hint="eastAsia"/>
          <w:sz w:val="18"/>
          <w:szCs w:val="18"/>
        </w:rPr>
        <w:t>资金信托受托人：</w:t>
      </w:r>
      <w:r>
        <w:rPr>
          <w:rFonts w:ascii="宋体" w:hint="eastAsia"/>
          <w:sz w:val="18"/>
          <w:szCs w:val="18"/>
        </w:rPr>
        <w:t>建信</w:t>
      </w:r>
      <w:r w:rsidRPr="00C3717A">
        <w:rPr>
          <w:rFonts w:ascii="宋体" w:hint="eastAsia"/>
          <w:sz w:val="18"/>
          <w:szCs w:val="18"/>
        </w:rPr>
        <w:t>信托</w:t>
      </w:r>
      <w:r>
        <w:rPr>
          <w:rFonts w:ascii="宋体" w:hint="eastAsia"/>
          <w:sz w:val="18"/>
          <w:szCs w:val="18"/>
        </w:rPr>
        <w:t>有限责任</w:t>
      </w:r>
      <w:r w:rsidRPr="00C3717A">
        <w:rPr>
          <w:rFonts w:ascii="宋体" w:hint="eastAsia"/>
          <w:sz w:val="18"/>
          <w:szCs w:val="18"/>
        </w:rPr>
        <w:t>公司</w:t>
      </w:r>
    </w:p>
    <w:p w:rsidR="00550B04" w:rsidRDefault="00550B04" w:rsidP="00550B04">
      <w:pPr>
        <w:ind w:firstLineChars="200" w:firstLine="360"/>
        <w:rPr>
          <w:rFonts w:ascii="宋体" w:hint="eastAsia"/>
          <w:sz w:val="18"/>
          <w:szCs w:val="18"/>
        </w:rPr>
      </w:pPr>
      <w:r w:rsidRPr="00C3717A">
        <w:rPr>
          <w:rFonts w:ascii="宋体" w:hint="eastAsia"/>
          <w:sz w:val="18"/>
          <w:szCs w:val="18"/>
        </w:rPr>
        <w:t>信托公司简要介绍：</w:t>
      </w:r>
      <w:r w:rsidRPr="00A813C3">
        <w:rPr>
          <w:rFonts w:ascii="宋体" w:hint="eastAsia"/>
          <w:sz w:val="18"/>
          <w:szCs w:val="18"/>
        </w:rPr>
        <w:t>建信信托有限责任公司（以下简称“建信信托”）是中国银监会报经国务院批准，由中国建设银行股份有限公司投资控股，在原合肥兴泰信托有限公司增资扩股的基础上，重组设立的非银行金融机构。建信信托秉承“诚信为本、稳健经营”的理念和“受人之托、代人理财”的宗旨，依托优良的资产质量和长期的业务积累，承接控股股东——中国建设银行卓著的品牌信誉、广阔的网络渠道、完善的管理体系及丰富的项目资源，凭借投资领域的多元化和理财方式的专业化，全面开展各类信托业务，广泛涉足各类固有业务，最大限度地满足投融资各方不同的需求，为委托人开辟安全、可靠的理财渠道，为客户提供多种金融产品以及专业化的金融服务。</w:t>
      </w:r>
    </w:p>
    <w:p w:rsidR="00AC6C2B" w:rsidRPr="00C3717A" w:rsidRDefault="00550B04" w:rsidP="00550B04">
      <w:pPr>
        <w:ind w:firstLineChars="200" w:firstLine="360"/>
        <w:rPr>
          <w:rFonts w:ascii="宋体" w:hint="eastAsia"/>
          <w:sz w:val="18"/>
          <w:szCs w:val="18"/>
        </w:rPr>
      </w:pPr>
      <w:r w:rsidRPr="00C3717A">
        <w:rPr>
          <w:rFonts w:ascii="宋体" w:hint="eastAsia"/>
          <w:sz w:val="18"/>
          <w:szCs w:val="18"/>
        </w:rPr>
        <w:t>注册地址：</w:t>
      </w:r>
      <w:r>
        <w:rPr>
          <w:rFonts w:ascii="宋体" w:hint="eastAsia"/>
          <w:sz w:val="18"/>
          <w:szCs w:val="18"/>
        </w:rPr>
        <w:t>安徽省合肥市九狮桥街45号</w:t>
      </w:r>
    </w:p>
    <w:p w:rsidR="003C42BD" w:rsidRDefault="003C42BD" w:rsidP="006E19F8">
      <w:pPr>
        <w:rPr>
          <w:rFonts w:ascii="宋体" w:hint="eastAsia"/>
          <w:sz w:val="18"/>
          <w:szCs w:val="18"/>
        </w:rPr>
      </w:pPr>
    </w:p>
    <w:p w:rsidR="003C42BD" w:rsidRDefault="003C42BD" w:rsidP="000052C7">
      <w:pPr>
        <w:pStyle w:val="a3"/>
        <w:tabs>
          <w:tab w:val="left" w:pos="720"/>
        </w:tabs>
        <w:outlineLvl w:val="0"/>
        <w:rPr>
          <w:rFonts w:ascii="黑体" w:eastAsia="黑体" w:hint="eastAsia"/>
          <w:b/>
          <w:szCs w:val="21"/>
        </w:rPr>
      </w:pPr>
      <w:r>
        <w:rPr>
          <w:rFonts w:ascii="黑体" w:eastAsia="黑体" w:hint="eastAsia"/>
          <w:b/>
          <w:szCs w:val="21"/>
        </w:rPr>
        <w:t>三、产品运作说明</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（一）产品规模</w:t>
      </w:r>
    </w:p>
    <w:p w:rsidR="003C42BD" w:rsidRPr="00B11C13" w:rsidRDefault="003C42BD" w:rsidP="003C42BD">
      <w:pPr>
        <w:ind w:firstLineChars="250" w:firstLine="450"/>
        <w:rPr>
          <w:rFonts w:ascii="宋体" w:hAnsi="宋体" w:hint="eastAsia"/>
          <w:sz w:val="18"/>
          <w:szCs w:val="18"/>
        </w:rPr>
      </w:pPr>
      <w:r>
        <w:rPr>
          <w:rFonts w:ascii="宋体" w:hAnsi="宋体" w:hint="eastAsia"/>
          <w:sz w:val="18"/>
          <w:szCs w:val="18"/>
        </w:rPr>
        <w:t>1.本期产品规模上限</w:t>
      </w:r>
      <w:r w:rsidRPr="00B11C13">
        <w:rPr>
          <w:rFonts w:ascii="宋体" w:hAnsi="宋体" w:hint="eastAsia"/>
          <w:sz w:val="18"/>
          <w:szCs w:val="18"/>
        </w:rPr>
        <w:t>：</w:t>
      </w:r>
      <w:r w:rsidR="008B6660">
        <w:rPr>
          <w:rFonts w:ascii="宋体" w:hAnsi="宋体" w:hint="eastAsia"/>
          <w:sz w:val="18"/>
          <w:szCs w:val="18"/>
        </w:rPr>
        <w:t>5</w:t>
      </w:r>
      <w:r w:rsidR="008D0F5E">
        <w:rPr>
          <w:rFonts w:ascii="宋体" w:hAnsi="宋体" w:hint="eastAsia"/>
          <w:sz w:val="18"/>
          <w:szCs w:val="18"/>
        </w:rPr>
        <w:t>亿</w:t>
      </w:r>
      <w:r w:rsidRPr="00B11C13">
        <w:rPr>
          <w:rFonts w:ascii="宋体" w:hAnsi="宋体" w:hint="eastAsia"/>
          <w:sz w:val="18"/>
          <w:szCs w:val="18"/>
        </w:rPr>
        <w:t>元。在本期产品募集期内，对本期产品的</w:t>
      </w:r>
      <w:r w:rsidRPr="00B11C13">
        <w:rPr>
          <w:rFonts w:ascii="宋体" w:hAnsi="宋体" w:hint="eastAsia"/>
          <w:bCs/>
          <w:sz w:val="18"/>
          <w:szCs w:val="18"/>
        </w:rPr>
        <w:t>认购金额达到本期理财产品规模上限，则中国建设银行有权利但无义务停止本期产品的认购，已经认购成功的客户投资权益不受影响。</w:t>
      </w:r>
      <w:r w:rsidRPr="00B11C13">
        <w:rPr>
          <w:rFonts w:ascii="宋体" w:hAnsi="宋体" w:hint="eastAsia"/>
          <w:sz w:val="18"/>
          <w:szCs w:val="18"/>
        </w:rPr>
        <w:t xml:space="preserve"> </w:t>
      </w:r>
    </w:p>
    <w:p w:rsidR="003C42BD" w:rsidRDefault="003C42BD" w:rsidP="003C42BD">
      <w:pPr>
        <w:ind w:firstLineChars="250" w:firstLine="452"/>
        <w:rPr>
          <w:rFonts w:ascii="宋体" w:hAnsi="宋体" w:hint="eastAsia"/>
          <w:b/>
          <w:sz w:val="18"/>
          <w:szCs w:val="18"/>
        </w:rPr>
      </w:pPr>
      <w:r w:rsidRPr="00B11C13">
        <w:rPr>
          <w:rFonts w:ascii="宋体" w:hAnsi="宋体" w:hint="eastAsia"/>
          <w:b/>
          <w:sz w:val="18"/>
          <w:szCs w:val="18"/>
        </w:rPr>
        <w:t>2.</w:t>
      </w:r>
      <w:r w:rsidRPr="00B11C13">
        <w:rPr>
          <w:rFonts w:ascii="宋体" w:hAnsi="宋体" w:hint="eastAsia"/>
          <w:sz w:val="18"/>
          <w:szCs w:val="18"/>
        </w:rPr>
        <w:t>本期产品规模下限：</w:t>
      </w:r>
      <w:r w:rsidR="0082278B" w:rsidRPr="00B11C13">
        <w:rPr>
          <w:rFonts w:ascii="宋体" w:hAnsi="宋体" w:hint="eastAsia"/>
          <w:sz w:val="18"/>
          <w:szCs w:val="18"/>
        </w:rPr>
        <w:t>1</w:t>
      </w:r>
      <w:r w:rsidR="00D518AF" w:rsidRPr="00B11C13">
        <w:rPr>
          <w:rFonts w:ascii="宋体" w:hAnsi="宋体" w:hint="eastAsia"/>
          <w:sz w:val="18"/>
          <w:szCs w:val="18"/>
        </w:rPr>
        <w:t>00万</w:t>
      </w:r>
      <w:r w:rsidRPr="00B11C13">
        <w:rPr>
          <w:rFonts w:ascii="宋体" w:hAnsi="宋体" w:hint="eastAsia"/>
          <w:sz w:val="18"/>
          <w:szCs w:val="18"/>
        </w:rPr>
        <w:t>元。在本期产品募集期内，对本期产品的认购金额未能达到本期理财产品规模下限，中国建设银行有权利但无义</w:t>
      </w:r>
      <w:r>
        <w:rPr>
          <w:rFonts w:ascii="宋体" w:hAnsi="宋体" w:hint="eastAsia"/>
          <w:sz w:val="18"/>
          <w:szCs w:val="18"/>
        </w:rPr>
        <w:t>务宣布本期产品不成立。如产品不成立，中国建设银行将在通知客户产品不成立后5个工作日内返还客户已缴纳的认购本金至客户指定账户，客户应确保账户状态正常，并及时查询账户资金变动情况。</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（二）认购/申购/追加投资/赎回</w:t>
      </w:r>
    </w:p>
    <w:p w:rsidR="003C42BD" w:rsidRDefault="003C42BD" w:rsidP="003C42BD">
      <w:pPr>
        <w:ind w:firstLine="360"/>
        <w:rPr>
          <w:rFonts w:ascii="宋体" w:hAnsi="宋体" w:hint="eastAsia"/>
          <w:sz w:val="18"/>
          <w:szCs w:val="18"/>
        </w:rPr>
      </w:pPr>
      <w:r>
        <w:rPr>
          <w:rFonts w:ascii="宋体" w:hAnsi="宋体" w:hint="eastAsia"/>
          <w:sz w:val="18"/>
          <w:szCs w:val="18"/>
        </w:rPr>
        <w:t>募集期内，客户认购本期产品，应提前将理财资金存入客户指定账户。在本期产品运行期间，不开放申购、追加投资和赎回。</w:t>
      </w:r>
    </w:p>
    <w:p w:rsidR="003C42BD" w:rsidRDefault="003C42BD" w:rsidP="003C42BD">
      <w:pPr>
        <w:ind w:firstLineChars="200" w:firstLine="360"/>
        <w:rPr>
          <w:rFonts w:ascii="宋体" w:hAnsi="宋体" w:hint="eastAsia"/>
          <w:sz w:val="18"/>
          <w:szCs w:val="18"/>
        </w:rPr>
      </w:pPr>
    </w:p>
    <w:p w:rsidR="003C42BD" w:rsidRDefault="003C42BD" w:rsidP="003C42BD">
      <w:pPr>
        <w:ind w:firstLineChars="200" w:firstLine="360"/>
        <w:rPr>
          <w:rFonts w:ascii="宋体" w:hAnsi="宋体" w:hint="eastAsia"/>
          <w:sz w:val="18"/>
          <w:szCs w:val="18"/>
        </w:rPr>
      </w:pPr>
    </w:p>
    <w:p w:rsidR="003C42BD" w:rsidRDefault="003C42BD" w:rsidP="00DF2CF8">
      <w:pPr>
        <w:pStyle w:val="a3"/>
        <w:tabs>
          <w:tab w:val="left" w:pos="720"/>
        </w:tabs>
        <w:outlineLvl w:val="0"/>
        <w:rPr>
          <w:rFonts w:ascii="黑体" w:eastAsia="黑体" w:hint="eastAsia"/>
          <w:b/>
          <w:szCs w:val="21"/>
        </w:rPr>
      </w:pPr>
      <w:r>
        <w:rPr>
          <w:rFonts w:ascii="黑体" w:eastAsia="黑体" w:hint="eastAsia"/>
          <w:b/>
          <w:szCs w:val="21"/>
        </w:rPr>
        <w:t>四、理财收益说明</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（一）理财收益风险</w:t>
      </w:r>
    </w:p>
    <w:p w:rsidR="003C42BD" w:rsidRDefault="003C42BD" w:rsidP="003C42BD">
      <w:pPr>
        <w:ind w:firstLine="360"/>
        <w:rPr>
          <w:rFonts w:ascii="宋体" w:hAnsi="宋体" w:hint="eastAsia"/>
          <w:bCs/>
          <w:sz w:val="18"/>
          <w:szCs w:val="18"/>
        </w:rPr>
      </w:pPr>
      <w:r>
        <w:rPr>
          <w:rFonts w:ascii="宋体" w:hAnsi="宋体" w:hint="eastAsia"/>
          <w:b/>
          <w:sz w:val="18"/>
          <w:szCs w:val="18"/>
        </w:rPr>
        <w:t>1. 测算收益不等于实际收益，投资需谨慎。</w:t>
      </w:r>
      <w:r>
        <w:rPr>
          <w:rFonts w:ascii="宋体" w:hAnsi="宋体" w:hint="eastAsia"/>
          <w:bCs/>
          <w:sz w:val="18"/>
          <w:szCs w:val="18"/>
        </w:rPr>
        <w:t>本说明书有关预期收益率、预期最高收益率的表述不代表投资者到期获得的实际收益，亦不构成中国建设银行对本理财产品的任何收益承诺。</w:t>
      </w:r>
    </w:p>
    <w:p w:rsidR="003C42BD" w:rsidRDefault="003C42BD" w:rsidP="003C42BD">
      <w:pPr>
        <w:ind w:firstLine="360"/>
        <w:rPr>
          <w:rFonts w:ascii="宋体" w:hAnsi="宋体" w:hint="eastAsia"/>
          <w:sz w:val="18"/>
          <w:szCs w:val="18"/>
        </w:rPr>
      </w:pPr>
      <w:r>
        <w:rPr>
          <w:rFonts w:ascii="宋体" w:hAnsi="宋体" w:hint="eastAsia"/>
          <w:sz w:val="18"/>
          <w:szCs w:val="18"/>
        </w:rPr>
        <w:t>2.风险示例</w:t>
      </w:r>
    </w:p>
    <w:p w:rsidR="003C42BD" w:rsidRDefault="003C42BD" w:rsidP="003C42BD">
      <w:pPr>
        <w:ind w:firstLineChars="200" w:firstLine="360"/>
        <w:rPr>
          <w:rFonts w:ascii="宋体" w:hAnsi="宋体" w:hint="eastAsia"/>
          <w:sz w:val="18"/>
          <w:szCs w:val="18"/>
        </w:rPr>
      </w:pPr>
      <w:r>
        <w:rPr>
          <w:rFonts w:ascii="宋体" w:hAnsi="宋体" w:hint="eastAsia"/>
          <w:sz w:val="18"/>
          <w:szCs w:val="18"/>
        </w:rPr>
        <w:t>在投资于基础资产的收益未按时足额回收的情况下，根据收益实际回收情况计算客户应得收益。</w:t>
      </w:r>
    </w:p>
    <w:p w:rsidR="003C42BD" w:rsidRDefault="003C42BD" w:rsidP="003C42BD">
      <w:pPr>
        <w:ind w:firstLineChars="200" w:firstLine="360"/>
        <w:rPr>
          <w:rFonts w:ascii="宋体" w:hAnsi="宋体" w:hint="eastAsia"/>
          <w:sz w:val="18"/>
          <w:szCs w:val="18"/>
        </w:rPr>
      </w:pPr>
      <w:r>
        <w:rPr>
          <w:rFonts w:ascii="宋体" w:hAnsi="宋体" w:hint="eastAsia"/>
          <w:sz w:val="18"/>
          <w:szCs w:val="18"/>
        </w:rPr>
        <w:t>如到期只能回收本金及部分收益，则客户实际年化收益率可能低于客户预期年化收益率；如到期未能回收任何收益，则客户实际收益将为零，客户只能收回本金。</w:t>
      </w:r>
    </w:p>
    <w:p w:rsidR="003C42BD" w:rsidRDefault="003C42BD" w:rsidP="003C42BD">
      <w:pPr>
        <w:ind w:firstLineChars="200" w:firstLine="361"/>
        <w:outlineLvl w:val="0"/>
        <w:rPr>
          <w:rFonts w:ascii="宋体" w:hint="eastAsia"/>
          <w:b/>
          <w:sz w:val="18"/>
          <w:szCs w:val="18"/>
        </w:rPr>
      </w:pPr>
      <w:r>
        <w:rPr>
          <w:rFonts w:ascii="宋体" w:hint="eastAsia"/>
          <w:b/>
          <w:sz w:val="18"/>
          <w:szCs w:val="18"/>
        </w:rPr>
        <w:t>（二）客户预期年化收益率</w:t>
      </w:r>
    </w:p>
    <w:p w:rsidR="007B032B" w:rsidRPr="00E15C14" w:rsidRDefault="003C42BD" w:rsidP="00E15C14">
      <w:pPr>
        <w:ind w:firstLineChars="200" w:firstLine="360"/>
        <w:outlineLvl w:val="0"/>
        <w:rPr>
          <w:rFonts w:ascii="宋体" w:hAnsi="宋体" w:hint="eastAsia"/>
          <w:sz w:val="18"/>
          <w:szCs w:val="18"/>
        </w:rPr>
      </w:pPr>
      <w:r>
        <w:rPr>
          <w:rFonts w:ascii="宋体" w:hint="eastAsia"/>
          <w:sz w:val="18"/>
          <w:szCs w:val="18"/>
        </w:rPr>
        <w:t>1.客户预期年化收益率的测算依据为：</w:t>
      </w:r>
      <w:r w:rsidR="00985642" w:rsidRPr="00EE19FE">
        <w:rPr>
          <w:rFonts w:ascii="宋体" w:hAnsi="宋体" w:hint="eastAsia"/>
          <w:sz w:val="18"/>
          <w:szCs w:val="18"/>
        </w:rPr>
        <w:t>本产品基础资产预期年化收益率</w:t>
      </w:r>
      <w:r w:rsidR="00D13C27">
        <w:rPr>
          <w:rFonts w:ascii="宋体" w:hAnsi="宋体" w:hint="eastAsia"/>
          <w:sz w:val="18"/>
          <w:szCs w:val="18"/>
        </w:rPr>
        <w:t>为</w:t>
      </w:r>
      <w:r w:rsidR="00FB7150">
        <w:rPr>
          <w:rFonts w:ascii="宋体" w:hAnsi="宋体" w:hint="eastAsia"/>
          <w:sz w:val="18"/>
          <w:szCs w:val="18"/>
        </w:rPr>
        <w:t>2.</w:t>
      </w:r>
      <w:r w:rsidR="00E56DCD">
        <w:rPr>
          <w:rFonts w:ascii="宋体" w:hAnsi="宋体" w:hint="eastAsia"/>
          <w:sz w:val="18"/>
          <w:szCs w:val="18"/>
        </w:rPr>
        <w:t>7</w:t>
      </w:r>
      <w:r w:rsidR="007B5652">
        <w:rPr>
          <w:rFonts w:ascii="宋体" w:hAnsi="宋体" w:hint="eastAsia"/>
          <w:sz w:val="18"/>
          <w:szCs w:val="18"/>
        </w:rPr>
        <w:t>0</w:t>
      </w:r>
      <w:r w:rsidR="00D13C27">
        <w:rPr>
          <w:rFonts w:ascii="宋体" w:hAnsi="宋体" w:hint="eastAsia"/>
          <w:sz w:val="18"/>
          <w:szCs w:val="18"/>
        </w:rPr>
        <w:t>%，</w:t>
      </w:r>
      <w:r w:rsidR="00985642" w:rsidRPr="00AA054C">
        <w:rPr>
          <w:rFonts w:ascii="宋体" w:hint="eastAsia"/>
          <w:sz w:val="18"/>
          <w:szCs w:val="18"/>
        </w:rPr>
        <w:t>在投资于基础资产的收益按时足额回收的情况下，扣除产品托管费率0.0</w:t>
      </w:r>
      <w:r w:rsidR="00B1421A">
        <w:rPr>
          <w:rFonts w:ascii="宋体" w:hint="eastAsia"/>
          <w:sz w:val="18"/>
          <w:szCs w:val="18"/>
        </w:rPr>
        <w:t>5</w:t>
      </w:r>
      <w:r w:rsidR="00985642" w:rsidRPr="00AA054C">
        <w:rPr>
          <w:rFonts w:ascii="宋体" w:hint="eastAsia"/>
          <w:sz w:val="18"/>
          <w:szCs w:val="18"/>
        </w:rPr>
        <w:t>%、信托报酬率0.02%</w:t>
      </w:r>
      <w:r w:rsidR="001F26C5">
        <w:rPr>
          <w:rFonts w:ascii="宋体" w:hint="eastAsia"/>
          <w:sz w:val="18"/>
          <w:szCs w:val="18"/>
        </w:rPr>
        <w:t>、产品销售费率0.0</w:t>
      </w:r>
      <w:r w:rsidR="006A0A24">
        <w:rPr>
          <w:rFonts w:ascii="宋体" w:hint="eastAsia"/>
          <w:sz w:val="18"/>
          <w:szCs w:val="18"/>
        </w:rPr>
        <w:t>2</w:t>
      </w:r>
      <w:r w:rsidR="001F26C5">
        <w:rPr>
          <w:rFonts w:ascii="宋体" w:hint="eastAsia"/>
          <w:sz w:val="18"/>
          <w:szCs w:val="18"/>
        </w:rPr>
        <w:t>%</w:t>
      </w:r>
      <w:r w:rsidR="002B0704">
        <w:rPr>
          <w:rFonts w:ascii="宋体" w:hint="eastAsia"/>
          <w:sz w:val="18"/>
          <w:szCs w:val="18"/>
        </w:rPr>
        <w:t>、</w:t>
      </w:r>
      <w:r w:rsidR="001518B1" w:rsidRPr="00EE19FE">
        <w:rPr>
          <w:rFonts w:ascii="宋体" w:hAnsi="宋体" w:hint="eastAsia"/>
          <w:sz w:val="18"/>
          <w:szCs w:val="18"/>
        </w:rPr>
        <w:t>客户预期年化收益率</w:t>
      </w:r>
      <w:r w:rsidR="00FB7150">
        <w:rPr>
          <w:rFonts w:ascii="宋体" w:hAnsi="宋体" w:hint="eastAsia"/>
          <w:sz w:val="18"/>
          <w:szCs w:val="18"/>
        </w:rPr>
        <w:t>2.</w:t>
      </w:r>
      <w:r w:rsidR="00E56DCD">
        <w:rPr>
          <w:rFonts w:ascii="宋体" w:hAnsi="宋体" w:hint="eastAsia"/>
          <w:sz w:val="18"/>
          <w:szCs w:val="18"/>
        </w:rPr>
        <w:t>6</w:t>
      </w:r>
      <w:r w:rsidR="00FB7150">
        <w:rPr>
          <w:rFonts w:ascii="宋体" w:hAnsi="宋体" w:hint="eastAsia"/>
          <w:sz w:val="18"/>
          <w:szCs w:val="18"/>
        </w:rPr>
        <w:t>0</w:t>
      </w:r>
      <w:r w:rsidR="001518B1" w:rsidRPr="00EE19FE">
        <w:rPr>
          <w:rFonts w:ascii="宋体" w:hAnsi="宋体" w:hint="eastAsia"/>
          <w:sz w:val="18"/>
          <w:szCs w:val="18"/>
        </w:rPr>
        <w:t>%</w:t>
      </w:r>
      <w:r w:rsidR="001518B1" w:rsidRPr="00AA054C">
        <w:rPr>
          <w:rFonts w:ascii="宋体" w:hint="eastAsia"/>
          <w:sz w:val="18"/>
          <w:szCs w:val="18"/>
        </w:rPr>
        <w:t>，</w:t>
      </w:r>
      <w:r w:rsidR="00985642" w:rsidRPr="00AA054C">
        <w:rPr>
          <w:rFonts w:ascii="宋体" w:hint="eastAsia"/>
          <w:sz w:val="18"/>
          <w:szCs w:val="18"/>
        </w:rPr>
        <w:t>剩余部分作为产品管理费由产品发行人收取。如果产品实际获得的收益率达到产品基础资产预期年化收益率，则超出部分将作为产品管理费，由产品发行人收取。</w:t>
      </w:r>
    </w:p>
    <w:p w:rsidR="003C42BD" w:rsidRDefault="003C42BD" w:rsidP="003C42BD">
      <w:pPr>
        <w:ind w:firstLineChars="200" w:firstLine="360"/>
        <w:outlineLvl w:val="0"/>
        <w:rPr>
          <w:rFonts w:ascii="宋体" w:hint="eastAsia"/>
          <w:sz w:val="18"/>
          <w:szCs w:val="18"/>
        </w:rPr>
      </w:pPr>
      <w:r>
        <w:rPr>
          <w:rFonts w:ascii="宋体" w:hint="eastAsia"/>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3C42BD" w:rsidRDefault="003C42BD" w:rsidP="003C42BD">
      <w:pPr>
        <w:ind w:firstLineChars="200" w:firstLine="361"/>
        <w:outlineLvl w:val="0"/>
        <w:rPr>
          <w:rFonts w:ascii="宋体" w:hint="eastAsia"/>
          <w:b/>
          <w:sz w:val="18"/>
          <w:szCs w:val="18"/>
        </w:rPr>
      </w:pPr>
      <w:r>
        <w:rPr>
          <w:rFonts w:ascii="宋体" w:hint="eastAsia"/>
          <w:b/>
          <w:sz w:val="18"/>
          <w:szCs w:val="18"/>
        </w:rPr>
        <w:lastRenderedPageBreak/>
        <w:t>（三）客户收益</w:t>
      </w:r>
    </w:p>
    <w:p w:rsidR="003C42BD" w:rsidRDefault="003C42BD" w:rsidP="003C42BD">
      <w:pPr>
        <w:ind w:left="360"/>
        <w:outlineLvl w:val="0"/>
        <w:rPr>
          <w:rFonts w:ascii="宋体" w:hAnsi="宋体" w:hint="eastAsia"/>
          <w:sz w:val="18"/>
          <w:szCs w:val="18"/>
        </w:rPr>
      </w:pPr>
      <w:r>
        <w:rPr>
          <w:rFonts w:ascii="宋体" w:hAnsi="宋体" w:hint="eastAsia"/>
          <w:sz w:val="18"/>
          <w:szCs w:val="18"/>
        </w:rPr>
        <w:t>1.收益计算公式</w:t>
      </w:r>
    </w:p>
    <w:p w:rsidR="003C42BD" w:rsidRDefault="003C42BD" w:rsidP="003C42BD">
      <w:pPr>
        <w:ind w:firstLineChars="200" w:firstLine="360"/>
        <w:rPr>
          <w:rFonts w:hint="eastAsia"/>
          <w:sz w:val="18"/>
          <w:szCs w:val="18"/>
        </w:rPr>
      </w:pPr>
      <w:r>
        <w:rPr>
          <w:rFonts w:ascii="宋体" w:hAnsi="宋体" w:hint="eastAsia"/>
          <w:sz w:val="18"/>
          <w:szCs w:val="18"/>
        </w:rPr>
        <w:t>中国建设银行根据客户持有的投资本金数额、每笔</w:t>
      </w:r>
      <w:r>
        <w:rPr>
          <w:rFonts w:hint="eastAsia"/>
          <w:sz w:val="18"/>
          <w:szCs w:val="18"/>
        </w:rPr>
        <w:t>投资本金的实际天数及实际年化收益率计算收益。</w:t>
      </w:r>
    </w:p>
    <w:p w:rsidR="003C42BD" w:rsidRDefault="003C42BD" w:rsidP="003C42BD">
      <w:pPr>
        <w:ind w:firstLineChars="200" w:firstLine="360"/>
        <w:rPr>
          <w:rFonts w:ascii="宋体" w:hAnsi="宋体"/>
          <w:sz w:val="18"/>
          <w:szCs w:val="18"/>
        </w:rPr>
      </w:pPr>
      <w:r>
        <w:rPr>
          <w:rFonts w:ascii="宋体" w:hAnsi="宋体" w:hint="eastAsia"/>
          <w:sz w:val="18"/>
          <w:szCs w:val="18"/>
        </w:rPr>
        <w:t>客户收益=投资本金×实际年化收益率×产品期限天数÷365</w:t>
      </w:r>
    </w:p>
    <w:p w:rsidR="003C42BD" w:rsidRDefault="003C42BD" w:rsidP="003C42BD">
      <w:pPr>
        <w:ind w:left="360"/>
        <w:outlineLvl w:val="0"/>
        <w:rPr>
          <w:rFonts w:ascii="宋体" w:hAnsi="宋体" w:hint="eastAsia"/>
          <w:sz w:val="18"/>
          <w:szCs w:val="18"/>
        </w:rPr>
      </w:pPr>
      <w:r>
        <w:rPr>
          <w:rFonts w:ascii="宋体" w:hAnsi="宋体" w:hint="eastAsia"/>
          <w:sz w:val="18"/>
          <w:szCs w:val="18"/>
        </w:rPr>
        <w:t>2.计算示例</w:t>
      </w:r>
    </w:p>
    <w:p w:rsidR="003C42BD" w:rsidRPr="00D3640C" w:rsidRDefault="003C42BD" w:rsidP="003C42BD">
      <w:pPr>
        <w:tabs>
          <w:tab w:val="left" w:pos="1800"/>
        </w:tabs>
        <w:ind w:firstLine="360"/>
        <w:rPr>
          <w:rFonts w:ascii="宋体" w:hAnsi="宋体" w:hint="eastAsia"/>
          <w:sz w:val="18"/>
          <w:szCs w:val="18"/>
        </w:rPr>
      </w:pPr>
      <w:r w:rsidRPr="00D3640C">
        <w:rPr>
          <w:rFonts w:ascii="宋体" w:hAnsi="宋体" w:hint="eastAsia"/>
          <w:sz w:val="18"/>
          <w:szCs w:val="18"/>
        </w:rPr>
        <w:t>假设客户10万元投资本金，产品期限</w:t>
      </w:r>
      <w:r w:rsidR="00FB7150">
        <w:rPr>
          <w:rFonts w:ascii="宋体" w:hAnsi="宋体" w:hint="eastAsia"/>
          <w:sz w:val="18"/>
          <w:szCs w:val="18"/>
        </w:rPr>
        <w:t>18</w:t>
      </w:r>
      <w:r w:rsidR="00CE4BB2">
        <w:rPr>
          <w:rFonts w:ascii="宋体" w:hAnsi="宋体" w:hint="eastAsia"/>
          <w:sz w:val="18"/>
          <w:szCs w:val="18"/>
        </w:rPr>
        <w:t>0</w:t>
      </w:r>
      <w:r w:rsidRPr="00D3640C">
        <w:rPr>
          <w:rFonts w:ascii="宋体" w:hAnsi="宋体" w:hint="eastAsia"/>
          <w:sz w:val="18"/>
          <w:szCs w:val="18"/>
        </w:rPr>
        <w:t>天，中国建设银行公布的客户预期年化收益率为</w:t>
      </w:r>
      <w:r w:rsidR="00E56DCD">
        <w:rPr>
          <w:rFonts w:ascii="宋体" w:hAnsi="宋体" w:hint="eastAsia"/>
          <w:sz w:val="18"/>
          <w:szCs w:val="18"/>
        </w:rPr>
        <w:t>2.6</w:t>
      </w:r>
      <w:r w:rsidR="00FB7150">
        <w:rPr>
          <w:rFonts w:ascii="宋体" w:hAnsi="宋体" w:hint="eastAsia"/>
          <w:sz w:val="18"/>
          <w:szCs w:val="18"/>
        </w:rPr>
        <w:t>0</w:t>
      </w:r>
      <w:r w:rsidRPr="00762E45">
        <w:rPr>
          <w:rFonts w:ascii="宋体" w:hAnsi="宋体" w:hint="eastAsia"/>
          <w:sz w:val="18"/>
          <w:szCs w:val="18"/>
        </w:rPr>
        <w:t>%，</w:t>
      </w:r>
      <w:r w:rsidRPr="00D3640C">
        <w:rPr>
          <w:rFonts w:ascii="宋体" w:hAnsi="宋体" w:hint="eastAsia"/>
          <w:sz w:val="18"/>
          <w:szCs w:val="18"/>
        </w:rPr>
        <w:t>中途未进行预期年化收益率的调整，且在产品到期日，实际收益率达到了预期收益率，则在到期日应兑付客户的投资收益为：</w:t>
      </w:r>
    </w:p>
    <w:p w:rsidR="003C42BD" w:rsidRDefault="003C42BD" w:rsidP="003C42BD">
      <w:pPr>
        <w:ind w:firstLineChars="250" w:firstLine="450"/>
        <w:rPr>
          <w:rFonts w:ascii="宋体" w:hAnsi="宋体" w:hint="eastAsia"/>
          <w:sz w:val="18"/>
          <w:szCs w:val="18"/>
        </w:rPr>
      </w:pPr>
      <w:r w:rsidRPr="00D3640C">
        <w:rPr>
          <w:rFonts w:ascii="宋体" w:hAnsi="宋体" w:hint="eastAsia"/>
          <w:sz w:val="18"/>
          <w:szCs w:val="18"/>
        </w:rPr>
        <w:t>投资收益： 100,000</w:t>
      </w:r>
      <w:r w:rsidRPr="00AC15FF">
        <w:rPr>
          <w:rFonts w:ascii="宋体" w:hAnsi="宋体" w:hint="eastAsia"/>
          <w:sz w:val="18"/>
          <w:szCs w:val="18"/>
        </w:rPr>
        <w:t>×</w:t>
      </w:r>
      <w:r w:rsidR="00E56DCD">
        <w:rPr>
          <w:rFonts w:ascii="宋体" w:hAnsi="宋体" w:hint="eastAsia"/>
          <w:sz w:val="18"/>
          <w:szCs w:val="18"/>
        </w:rPr>
        <w:t>2.6</w:t>
      </w:r>
      <w:r w:rsidR="00FB7150">
        <w:rPr>
          <w:rFonts w:ascii="宋体" w:hAnsi="宋体" w:hint="eastAsia"/>
          <w:sz w:val="18"/>
          <w:szCs w:val="18"/>
        </w:rPr>
        <w:t>0</w:t>
      </w:r>
      <w:r w:rsidRPr="00AC15FF">
        <w:rPr>
          <w:rFonts w:ascii="宋体" w:hAnsi="宋体" w:hint="eastAsia"/>
          <w:sz w:val="18"/>
          <w:szCs w:val="18"/>
        </w:rPr>
        <w:t>%×</w:t>
      </w:r>
      <w:r w:rsidR="00FB7150">
        <w:rPr>
          <w:rFonts w:ascii="宋体" w:hAnsi="宋体" w:hint="eastAsia"/>
          <w:sz w:val="18"/>
          <w:szCs w:val="18"/>
        </w:rPr>
        <w:t>18</w:t>
      </w:r>
      <w:r w:rsidR="00CE4BB2">
        <w:rPr>
          <w:rFonts w:ascii="宋体" w:hAnsi="宋体" w:hint="eastAsia"/>
          <w:sz w:val="18"/>
          <w:szCs w:val="18"/>
        </w:rPr>
        <w:t>0</w:t>
      </w:r>
      <w:r w:rsidRPr="00AC15FF">
        <w:rPr>
          <w:rFonts w:ascii="宋体" w:hAnsi="宋体" w:hint="eastAsia"/>
          <w:sz w:val="18"/>
          <w:szCs w:val="18"/>
        </w:rPr>
        <w:t>÷365≈</w:t>
      </w:r>
      <w:r w:rsidR="00CE4BB2">
        <w:rPr>
          <w:rFonts w:ascii="宋体" w:hAnsi="宋体" w:hint="eastAsia"/>
          <w:sz w:val="18"/>
          <w:szCs w:val="18"/>
        </w:rPr>
        <w:t>1282.19</w:t>
      </w:r>
      <w:r w:rsidRPr="00AC15FF">
        <w:rPr>
          <w:rFonts w:ascii="宋体" w:hAnsi="宋体" w:hint="eastAsia"/>
          <w:sz w:val="18"/>
          <w:szCs w:val="18"/>
        </w:rPr>
        <w:t>（</w:t>
      </w:r>
      <w:r w:rsidRPr="00D3640C">
        <w:rPr>
          <w:rFonts w:ascii="宋体" w:hAnsi="宋体" w:hint="eastAsia"/>
          <w:sz w:val="18"/>
          <w:szCs w:val="18"/>
        </w:rPr>
        <w:t>元）（四舍五入）</w:t>
      </w:r>
    </w:p>
    <w:p w:rsidR="003C42BD" w:rsidRDefault="003C42BD" w:rsidP="003C42BD">
      <w:pPr>
        <w:ind w:firstLineChars="250" w:firstLine="452"/>
        <w:rPr>
          <w:rFonts w:ascii="Calibri" w:hAnsi="Calibri" w:hint="eastAsia"/>
          <w:b/>
          <w:szCs w:val="18"/>
        </w:rPr>
      </w:pPr>
      <w:r>
        <w:rPr>
          <w:rFonts w:ascii="宋体" w:hAnsi="宋体" w:hint="eastAsia"/>
          <w:b/>
          <w:sz w:val="18"/>
          <w:szCs w:val="18"/>
        </w:rPr>
        <w:t>上述示例采用假设数据计算，</w:t>
      </w:r>
      <w:r>
        <w:rPr>
          <w:rFonts w:ascii="Calibri" w:hAnsi="Calibri" w:hint="eastAsia"/>
          <w:b/>
          <w:szCs w:val="18"/>
        </w:rPr>
        <w:t>测算收益不等于实际收益，投资需谨慎。</w:t>
      </w:r>
    </w:p>
    <w:p w:rsidR="003C42BD" w:rsidRDefault="003C42BD" w:rsidP="00133F5A">
      <w:pPr>
        <w:rPr>
          <w:rFonts w:ascii="Calibri" w:hAnsi="Calibri"/>
          <w:b/>
          <w:szCs w:val="18"/>
        </w:rPr>
      </w:pPr>
    </w:p>
    <w:p w:rsidR="003C42BD" w:rsidRDefault="003C42BD" w:rsidP="00A65A6C">
      <w:pPr>
        <w:rPr>
          <w:rFonts w:ascii="宋体" w:hAnsi="宋体"/>
          <w:sz w:val="18"/>
          <w:szCs w:val="18"/>
        </w:rPr>
      </w:pPr>
    </w:p>
    <w:p w:rsidR="003C42BD" w:rsidRDefault="003C42BD" w:rsidP="003C42BD">
      <w:pPr>
        <w:pStyle w:val="a3"/>
        <w:tabs>
          <w:tab w:val="left" w:pos="720"/>
        </w:tabs>
        <w:ind w:firstLineChars="200" w:firstLine="402"/>
        <w:outlineLvl w:val="0"/>
        <w:rPr>
          <w:rFonts w:ascii="黑体" w:eastAsia="黑体" w:hint="eastAsia"/>
          <w:b/>
          <w:szCs w:val="21"/>
        </w:rPr>
      </w:pPr>
      <w:r>
        <w:rPr>
          <w:rFonts w:ascii="黑体" w:eastAsia="黑体" w:hint="eastAsia"/>
          <w:b/>
          <w:szCs w:val="21"/>
        </w:rPr>
        <w:t>五、费用说明与收取方式</w:t>
      </w:r>
    </w:p>
    <w:p w:rsidR="003C42BD" w:rsidRDefault="003C42BD" w:rsidP="003C42BD">
      <w:pPr>
        <w:autoSpaceDE w:val="0"/>
        <w:autoSpaceDN w:val="0"/>
        <w:adjustRightInd w:val="0"/>
        <w:jc w:val="left"/>
        <w:rPr>
          <w:rFonts w:ascii="宋体" w:hAnsi="Calibri" w:cs="宋体" w:hint="eastAsia"/>
          <w:color w:val="000000"/>
          <w:kern w:val="0"/>
          <w:sz w:val="18"/>
          <w:szCs w:val="18"/>
        </w:rPr>
      </w:pPr>
      <w:r>
        <w:rPr>
          <w:rFonts w:ascii="宋体" w:hAnsi="Calibri" w:cs="宋体" w:hint="eastAsia"/>
          <w:color w:val="000000"/>
          <w:kern w:val="0"/>
          <w:sz w:val="18"/>
          <w:szCs w:val="18"/>
        </w:rPr>
        <w:t xml:space="preserve">    本期理财产品以实际募集资金总额为基础，收取的固定费用为产品销售费、产品托管费</w:t>
      </w:r>
      <w:r w:rsidR="00377976">
        <w:rPr>
          <w:rFonts w:ascii="宋体" w:hAnsi="Calibri" w:cs="宋体" w:hint="eastAsia"/>
          <w:color w:val="000000"/>
          <w:kern w:val="0"/>
          <w:sz w:val="18"/>
          <w:szCs w:val="18"/>
        </w:rPr>
        <w:t>、</w:t>
      </w:r>
      <w:r w:rsidR="000915E9">
        <w:rPr>
          <w:rFonts w:ascii="宋体" w:hAnsi="Calibri" w:cs="宋体" w:hint="eastAsia"/>
          <w:color w:val="000000"/>
          <w:kern w:val="0"/>
          <w:sz w:val="18"/>
          <w:szCs w:val="18"/>
        </w:rPr>
        <w:t>信托报酬</w:t>
      </w:r>
      <w:r>
        <w:rPr>
          <w:rFonts w:ascii="宋体" w:hAnsi="Calibri" w:cs="宋体" w:hint="eastAsia"/>
          <w:color w:val="000000"/>
          <w:kern w:val="0"/>
          <w:sz w:val="18"/>
          <w:szCs w:val="18"/>
        </w:rPr>
        <w:t>。其中产品托管费率为</w:t>
      </w:r>
      <w:r w:rsidR="00745DFB">
        <w:rPr>
          <w:rFonts w:ascii="宋体" w:hAnsi="Calibri" w:cs="宋体" w:hint="eastAsia"/>
          <w:color w:val="000000"/>
          <w:kern w:val="0"/>
          <w:sz w:val="18"/>
          <w:szCs w:val="18"/>
        </w:rPr>
        <w:t>0.05</w:t>
      </w:r>
      <w:r>
        <w:rPr>
          <w:rFonts w:ascii="宋体" w:hAnsi="Calibri" w:cs="宋体" w:hint="eastAsia"/>
          <w:color w:val="000000"/>
          <w:kern w:val="0"/>
          <w:sz w:val="18"/>
          <w:szCs w:val="18"/>
        </w:rPr>
        <w:t>年</w:t>
      </w:r>
      <w:r w:rsidR="00015111">
        <w:rPr>
          <w:rFonts w:ascii="宋体" w:hAnsi="Calibri" w:cs="宋体" w:hint="eastAsia"/>
          <w:color w:val="000000"/>
          <w:kern w:val="0"/>
          <w:sz w:val="18"/>
          <w:szCs w:val="18"/>
        </w:rPr>
        <w:t>，</w:t>
      </w:r>
      <w:r w:rsidR="000E5A8D">
        <w:rPr>
          <w:rFonts w:ascii="宋体" w:hAnsi="Calibri" w:cs="宋体" w:hint="eastAsia"/>
          <w:color w:val="000000"/>
          <w:kern w:val="0"/>
          <w:sz w:val="18"/>
          <w:szCs w:val="18"/>
        </w:rPr>
        <w:t>信托报酬</w:t>
      </w:r>
      <w:r w:rsidR="001C5EB0">
        <w:rPr>
          <w:rFonts w:ascii="宋体" w:hAnsi="Calibri" w:cs="宋体" w:hint="eastAsia"/>
          <w:color w:val="000000"/>
          <w:kern w:val="0"/>
          <w:sz w:val="18"/>
          <w:szCs w:val="18"/>
        </w:rPr>
        <w:t>率</w:t>
      </w:r>
      <w:r w:rsidR="00015111">
        <w:rPr>
          <w:rFonts w:ascii="宋体" w:hAnsi="Calibri" w:cs="宋体" w:hint="eastAsia"/>
          <w:color w:val="000000"/>
          <w:kern w:val="0"/>
          <w:sz w:val="18"/>
          <w:szCs w:val="18"/>
        </w:rPr>
        <w:t>为0.02%</w:t>
      </w:r>
      <w:r w:rsidR="0094763F">
        <w:rPr>
          <w:rFonts w:ascii="宋体" w:hAnsi="Calibri" w:cs="宋体" w:hint="eastAsia"/>
          <w:color w:val="000000"/>
          <w:kern w:val="0"/>
          <w:sz w:val="18"/>
          <w:szCs w:val="18"/>
        </w:rPr>
        <w:t>，</w:t>
      </w:r>
      <w:r w:rsidR="0094763F">
        <w:rPr>
          <w:rFonts w:ascii="宋体" w:hint="eastAsia"/>
          <w:sz w:val="18"/>
          <w:szCs w:val="18"/>
        </w:rPr>
        <w:t>产品销售费率0.0</w:t>
      </w:r>
      <w:r w:rsidR="0022269C">
        <w:rPr>
          <w:rFonts w:ascii="宋体" w:hint="eastAsia"/>
          <w:sz w:val="18"/>
          <w:szCs w:val="18"/>
        </w:rPr>
        <w:t>2</w:t>
      </w:r>
      <w:r w:rsidR="00745DFB">
        <w:rPr>
          <w:rFonts w:ascii="宋体" w:hint="eastAsia"/>
          <w:sz w:val="18"/>
          <w:szCs w:val="18"/>
        </w:rPr>
        <w:t>%。</w:t>
      </w:r>
    </w:p>
    <w:p w:rsidR="003C42BD" w:rsidRDefault="003C42BD" w:rsidP="003C42BD">
      <w:pPr>
        <w:rPr>
          <w:rFonts w:ascii="宋体" w:hAnsi="宋体" w:hint="eastAsia"/>
          <w:sz w:val="18"/>
          <w:szCs w:val="18"/>
        </w:rPr>
      </w:pPr>
      <w:r>
        <w:rPr>
          <w:rFonts w:ascii="宋体" w:hAnsi="Calibri" w:cs="宋体" w:hint="eastAsia"/>
          <w:color w:val="000000"/>
          <w:kern w:val="0"/>
          <w:sz w:val="18"/>
          <w:szCs w:val="18"/>
        </w:rPr>
        <w:t xml:space="preserve">    扣除上述固定费用后，若基础资产运作的实际年化净收益率超过客户预期年化收益率，则中国建设银行收取超出的部分作为产品管理的费用；扣除上述固定费用后，若基础资产运作的实际年化净收益率不超过客户预期年化收益率，中国建设银行将不再收取任何费用。</w:t>
      </w:r>
    </w:p>
    <w:p w:rsidR="003C42BD" w:rsidRDefault="003C42BD" w:rsidP="003C42BD">
      <w:pPr>
        <w:pStyle w:val="a3"/>
        <w:tabs>
          <w:tab w:val="left" w:pos="720"/>
        </w:tabs>
        <w:ind w:firstLineChars="200" w:firstLine="402"/>
        <w:outlineLvl w:val="0"/>
        <w:rPr>
          <w:rFonts w:ascii="黑体" w:eastAsia="黑体" w:hint="eastAsia"/>
          <w:b/>
          <w:szCs w:val="21"/>
        </w:rPr>
      </w:pPr>
    </w:p>
    <w:p w:rsidR="003C42BD" w:rsidRDefault="003C42BD" w:rsidP="003C42BD">
      <w:pPr>
        <w:pStyle w:val="a3"/>
        <w:tabs>
          <w:tab w:val="left" w:pos="720"/>
        </w:tabs>
        <w:ind w:firstLineChars="200" w:firstLine="402"/>
        <w:outlineLvl w:val="0"/>
        <w:rPr>
          <w:rFonts w:ascii="黑体" w:eastAsia="黑体" w:hint="eastAsia"/>
          <w:b/>
          <w:szCs w:val="21"/>
        </w:rPr>
      </w:pPr>
      <w:r>
        <w:rPr>
          <w:rFonts w:ascii="黑体" w:eastAsia="黑体" w:hint="eastAsia"/>
          <w:b/>
          <w:szCs w:val="21"/>
        </w:rPr>
        <w:t>六、提前终止</w:t>
      </w:r>
    </w:p>
    <w:p w:rsidR="003C42BD" w:rsidRDefault="003C42BD" w:rsidP="003C42BD">
      <w:pPr>
        <w:ind w:firstLine="360"/>
        <w:rPr>
          <w:rFonts w:ascii="宋体" w:hAnsi="宋体" w:hint="eastAsia"/>
          <w:b/>
          <w:sz w:val="18"/>
          <w:szCs w:val="18"/>
        </w:rPr>
      </w:pPr>
      <w:r>
        <w:rPr>
          <w:rFonts w:ascii="宋体" w:hAnsi="宋体" w:hint="eastAsia"/>
          <w:b/>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3C42BD" w:rsidRDefault="003C42BD" w:rsidP="003C42BD">
      <w:pPr>
        <w:ind w:firstLine="360"/>
        <w:rPr>
          <w:rFonts w:ascii="宋体" w:hAnsi="宋体" w:hint="eastAsia"/>
          <w:b/>
          <w:sz w:val="18"/>
          <w:szCs w:val="18"/>
        </w:rPr>
      </w:pPr>
      <w:r>
        <w:rPr>
          <w:rFonts w:ascii="宋体" w:hAnsi="宋体" w:hint="eastAsia"/>
          <w:b/>
          <w:sz w:val="18"/>
          <w:szCs w:val="18"/>
        </w:rPr>
        <w:t>（二）中国建设银行提前终止本产品的情形包括但不限于：</w:t>
      </w:r>
    </w:p>
    <w:p w:rsidR="003C42BD" w:rsidRDefault="003C42BD" w:rsidP="003C42BD">
      <w:pPr>
        <w:ind w:firstLineChars="200" w:firstLine="360"/>
        <w:rPr>
          <w:rFonts w:ascii="宋体" w:hAnsi="宋体" w:hint="eastAsia"/>
          <w:sz w:val="18"/>
          <w:szCs w:val="18"/>
        </w:rPr>
      </w:pPr>
      <w:r>
        <w:rPr>
          <w:rFonts w:ascii="宋体" w:hAnsi="宋体" w:hint="eastAsia"/>
          <w:sz w:val="18"/>
          <w:szCs w:val="18"/>
        </w:rPr>
        <w:t>1.如遇国家金融政策出现重大调整并影响到本产品的正常运作时，中国建设银行有权利但无义务提前终止本产品。</w:t>
      </w:r>
    </w:p>
    <w:p w:rsidR="003C42BD" w:rsidRDefault="003C42BD" w:rsidP="003C42BD">
      <w:pPr>
        <w:ind w:firstLineChars="200" w:firstLine="360"/>
        <w:rPr>
          <w:rFonts w:ascii="宋体" w:hAnsi="宋体" w:hint="eastAsia"/>
          <w:b/>
          <w:sz w:val="18"/>
          <w:szCs w:val="18"/>
        </w:rPr>
      </w:pPr>
      <w:r>
        <w:rPr>
          <w:rFonts w:ascii="宋体" w:hAnsi="宋体" w:hint="eastAsia"/>
          <w:sz w:val="18"/>
          <w:szCs w:val="18"/>
        </w:rPr>
        <w:t>2.因市场发生极端重大变动或突发性事件等情形时，中国建设银行有权利但无义务提前终止本产品。</w:t>
      </w:r>
    </w:p>
    <w:p w:rsidR="003C42BD" w:rsidRDefault="003C42BD" w:rsidP="003C42BD">
      <w:pPr>
        <w:ind w:left="360"/>
        <w:rPr>
          <w:rFonts w:ascii="宋体" w:hAnsi="宋体" w:hint="eastAsia"/>
          <w:b/>
          <w:sz w:val="18"/>
          <w:szCs w:val="18"/>
        </w:rPr>
      </w:pPr>
      <w:r>
        <w:rPr>
          <w:rFonts w:ascii="宋体" w:hAnsi="宋体" w:hint="eastAsia"/>
          <w:b/>
          <w:sz w:val="18"/>
          <w:szCs w:val="18"/>
        </w:rPr>
        <w:t>（三）提前终止时收益计算示例：</w:t>
      </w:r>
    </w:p>
    <w:p w:rsidR="003C42BD" w:rsidRPr="00EA6392" w:rsidRDefault="003C42BD" w:rsidP="003C42BD">
      <w:pPr>
        <w:widowControl/>
        <w:ind w:firstLine="420"/>
        <w:rPr>
          <w:rFonts w:ascii="宋体" w:hAnsi="宋体" w:cs="Arial" w:hint="eastAsia"/>
          <w:kern w:val="0"/>
          <w:sz w:val="18"/>
          <w:szCs w:val="18"/>
        </w:rPr>
      </w:pPr>
      <w:r>
        <w:rPr>
          <w:rFonts w:ascii="宋体" w:hAnsi="宋体" w:cs="Arial" w:hint="eastAsia"/>
          <w:kern w:val="0"/>
          <w:sz w:val="18"/>
          <w:szCs w:val="18"/>
        </w:rPr>
        <w:t>假设投资本金10</w:t>
      </w:r>
      <w:r w:rsidR="009431D7">
        <w:rPr>
          <w:rFonts w:ascii="宋体" w:hAnsi="宋体" w:cs="Arial" w:hint="eastAsia"/>
          <w:kern w:val="0"/>
          <w:sz w:val="18"/>
          <w:szCs w:val="18"/>
        </w:rPr>
        <w:t>万</w:t>
      </w:r>
      <w:r>
        <w:rPr>
          <w:rFonts w:ascii="宋体" w:hAnsi="宋体" w:cs="Arial" w:hint="eastAsia"/>
          <w:kern w:val="0"/>
          <w:sz w:val="18"/>
          <w:szCs w:val="18"/>
        </w:rPr>
        <w:t>元，产品期限</w:t>
      </w:r>
      <w:r w:rsidR="00FB7150">
        <w:rPr>
          <w:rFonts w:ascii="宋体" w:hAnsi="宋体" w:cs="Arial" w:hint="eastAsia"/>
          <w:kern w:val="0"/>
          <w:sz w:val="18"/>
          <w:szCs w:val="18"/>
        </w:rPr>
        <w:t>18</w:t>
      </w:r>
      <w:r w:rsidR="008856C2">
        <w:rPr>
          <w:rFonts w:ascii="宋体" w:hAnsi="宋体" w:cs="Arial" w:hint="eastAsia"/>
          <w:kern w:val="0"/>
          <w:sz w:val="18"/>
          <w:szCs w:val="18"/>
        </w:rPr>
        <w:t>0</w:t>
      </w:r>
      <w:r w:rsidR="00DE2181">
        <w:rPr>
          <w:rFonts w:ascii="宋体" w:hAnsi="宋体" w:cs="Arial" w:hint="eastAsia"/>
          <w:kern w:val="0"/>
          <w:sz w:val="18"/>
          <w:szCs w:val="18"/>
        </w:rPr>
        <w:t>天，</w:t>
      </w:r>
      <w:r>
        <w:rPr>
          <w:rFonts w:ascii="宋体" w:hAnsi="宋体" w:cs="Arial" w:hint="eastAsia"/>
          <w:kern w:val="0"/>
          <w:sz w:val="18"/>
          <w:szCs w:val="18"/>
        </w:rPr>
        <w:t>因产品提前终止，实际理财天数为10天，实际年化收益率</w:t>
      </w:r>
      <w:r w:rsidR="00FB7150">
        <w:rPr>
          <w:rFonts w:ascii="宋体" w:hAnsi="宋体" w:cs="Arial" w:hint="eastAsia"/>
          <w:kern w:val="0"/>
          <w:sz w:val="18"/>
          <w:szCs w:val="18"/>
        </w:rPr>
        <w:t>2.</w:t>
      </w:r>
      <w:r w:rsidR="00CC609E">
        <w:rPr>
          <w:rFonts w:ascii="宋体" w:hAnsi="宋体" w:cs="Arial" w:hint="eastAsia"/>
          <w:kern w:val="0"/>
          <w:sz w:val="18"/>
          <w:szCs w:val="18"/>
        </w:rPr>
        <w:t>6</w:t>
      </w:r>
      <w:r w:rsidR="00FB7150">
        <w:rPr>
          <w:rFonts w:ascii="宋体" w:hAnsi="宋体" w:cs="Arial" w:hint="eastAsia"/>
          <w:kern w:val="0"/>
          <w:sz w:val="18"/>
          <w:szCs w:val="18"/>
        </w:rPr>
        <w:t>0</w:t>
      </w:r>
      <w:r w:rsidR="00A66D45">
        <w:rPr>
          <w:rFonts w:ascii="宋体" w:hAnsi="宋体" w:cs="Arial" w:hint="eastAsia"/>
          <w:kern w:val="0"/>
          <w:sz w:val="18"/>
          <w:szCs w:val="18"/>
        </w:rPr>
        <w:t>%</w:t>
      </w:r>
      <w:r w:rsidR="0019383B">
        <w:rPr>
          <w:rFonts w:ascii="宋体" w:hAnsi="宋体" w:cs="Arial" w:hint="eastAsia"/>
          <w:kern w:val="0"/>
          <w:sz w:val="18"/>
          <w:szCs w:val="18"/>
        </w:rPr>
        <w:t>。则在</w:t>
      </w:r>
      <w:r w:rsidRPr="00EA6392">
        <w:rPr>
          <w:rFonts w:ascii="宋体" w:hAnsi="宋体" w:cs="Arial" w:hint="eastAsia"/>
          <w:kern w:val="0"/>
          <w:sz w:val="18"/>
          <w:szCs w:val="18"/>
        </w:rPr>
        <w:t>提前终止日，应兑付给客户的投资收益为：</w:t>
      </w:r>
    </w:p>
    <w:p w:rsidR="003C42BD" w:rsidRPr="00EA6392" w:rsidRDefault="003C42BD" w:rsidP="003C42BD">
      <w:pPr>
        <w:widowControl/>
        <w:ind w:firstLine="420"/>
        <w:rPr>
          <w:rFonts w:ascii="宋体" w:hAnsi="宋体" w:cs="Arial" w:hint="eastAsia"/>
          <w:kern w:val="0"/>
          <w:sz w:val="18"/>
          <w:szCs w:val="18"/>
        </w:rPr>
      </w:pPr>
      <w:r w:rsidRPr="00EA6392">
        <w:rPr>
          <w:rFonts w:ascii="宋体" w:hAnsi="宋体" w:cs="Arial" w:hint="eastAsia"/>
          <w:kern w:val="0"/>
          <w:sz w:val="18"/>
          <w:szCs w:val="18"/>
        </w:rPr>
        <w:t>客户收益＝</w:t>
      </w:r>
      <w:r w:rsidR="004E25BB" w:rsidRPr="00D3640C">
        <w:rPr>
          <w:rFonts w:ascii="宋体" w:hAnsi="宋体" w:hint="eastAsia"/>
          <w:sz w:val="18"/>
          <w:szCs w:val="18"/>
        </w:rPr>
        <w:t>100,000</w:t>
      </w:r>
      <w:r w:rsidR="004E25BB" w:rsidRPr="00AC15FF">
        <w:rPr>
          <w:rFonts w:ascii="宋体" w:hAnsi="宋体" w:hint="eastAsia"/>
          <w:sz w:val="18"/>
          <w:szCs w:val="18"/>
        </w:rPr>
        <w:t>×</w:t>
      </w:r>
      <w:r w:rsidR="00FB7150">
        <w:rPr>
          <w:rFonts w:ascii="宋体" w:hAnsi="宋体" w:hint="eastAsia"/>
          <w:sz w:val="18"/>
          <w:szCs w:val="18"/>
        </w:rPr>
        <w:t>2.</w:t>
      </w:r>
      <w:r w:rsidR="00CC609E">
        <w:rPr>
          <w:rFonts w:ascii="宋体" w:hAnsi="宋体" w:hint="eastAsia"/>
          <w:sz w:val="18"/>
          <w:szCs w:val="18"/>
        </w:rPr>
        <w:t>6</w:t>
      </w:r>
      <w:r w:rsidR="00FB7150">
        <w:rPr>
          <w:rFonts w:ascii="宋体" w:hAnsi="宋体" w:hint="eastAsia"/>
          <w:sz w:val="18"/>
          <w:szCs w:val="18"/>
        </w:rPr>
        <w:t>0</w:t>
      </w:r>
      <w:r w:rsidR="004E25BB" w:rsidRPr="00AC15FF">
        <w:rPr>
          <w:rFonts w:ascii="宋体" w:hAnsi="宋体" w:hint="eastAsia"/>
          <w:sz w:val="18"/>
          <w:szCs w:val="18"/>
        </w:rPr>
        <w:t>%×</w:t>
      </w:r>
      <w:r w:rsidR="00C25026">
        <w:rPr>
          <w:rFonts w:ascii="宋体" w:hAnsi="宋体" w:hint="eastAsia"/>
          <w:sz w:val="18"/>
          <w:szCs w:val="18"/>
        </w:rPr>
        <w:t>10</w:t>
      </w:r>
      <w:r w:rsidR="004E25BB" w:rsidRPr="00AC15FF">
        <w:rPr>
          <w:rFonts w:ascii="宋体" w:hAnsi="宋体" w:hint="eastAsia"/>
          <w:sz w:val="18"/>
          <w:szCs w:val="18"/>
        </w:rPr>
        <w:t>÷365</w:t>
      </w:r>
      <w:r w:rsidRPr="00EA6392">
        <w:rPr>
          <w:rFonts w:ascii="宋体" w:hAnsi="宋体" w:cs="Arial" w:hint="eastAsia"/>
          <w:kern w:val="0"/>
          <w:sz w:val="18"/>
          <w:szCs w:val="18"/>
        </w:rPr>
        <w:t>≈</w:t>
      </w:r>
      <w:r w:rsidR="00CC609E">
        <w:rPr>
          <w:rFonts w:ascii="宋体" w:hAnsi="宋体" w:cs="Arial" w:hint="eastAsia"/>
          <w:kern w:val="0"/>
          <w:sz w:val="18"/>
          <w:szCs w:val="18"/>
        </w:rPr>
        <w:t>71.23</w:t>
      </w:r>
      <w:r w:rsidRPr="00EA6392">
        <w:rPr>
          <w:rFonts w:ascii="宋体" w:hAnsi="宋体" w:cs="Arial" w:hint="eastAsia"/>
          <w:kern w:val="0"/>
          <w:sz w:val="18"/>
          <w:szCs w:val="18"/>
        </w:rPr>
        <w:t>（元）（四舍五入）</w:t>
      </w:r>
    </w:p>
    <w:p w:rsidR="003C42BD" w:rsidRDefault="003C42BD" w:rsidP="003C42BD">
      <w:pPr>
        <w:widowControl/>
        <w:ind w:firstLine="420"/>
        <w:rPr>
          <w:rFonts w:ascii="宋体" w:hAnsi="宋体" w:hint="eastAsia"/>
          <w:b/>
          <w:bCs/>
          <w:sz w:val="18"/>
          <w:szCs w:val="18"/>
        </w:rPr>
      </w:pPr>
      <w:r w:rsidRPr="00EA6392">
        <w:rPr>
          <w:rFonts w:ascii="宋体" w:hAnsi="宋体" w:cs="Arial" w:hint="eastAsia"/>
          <w:b/>
          <w:kern w:val="0"/>
          <w:sz w:val="18"/>
          <w:szCs w:val="18"/>
        </w:rPr>
        <w:t>上述示例均采用假设数据计算，</w:t>
      </w:r>
      <w:r w:rsidRPr="00EA6392">
        <w:rPr>
          <w:rFonts w:ascii="Calibri" w:hAnsi="Calibri" w:hint="eastAsia"/>
          <w:b/>
          <w:szCs w:val="18"/>
        </w:rPr>
        <w:t>测算收益不等于实际收益，</w:t>
      </w:r>
      <w:r>
        <w:rPr>
          <w:rFonts w:ascii="Calibri" w:hAnsi="Calibri" w:hint="eastAsia"/>
          <w:b/>
          <w:szCs w:val="18"/>
        </w:rPr>
        <w:t>投资需谨慎。</w:t>
      </w:r>
    </w:p>
    <w:p w:rsidR="003C42BD" w:rsidRDefault="003C42BD" w:rsidP="003C42BD">
      <w:pPr>
        <w:ind w:firstLineChars="200" w:firstLine="361"/>
        <w:rPr>
          <w:rFonts w:ascii="宋体" w:hAnsi="宋体" w:hint="eastAsia"/>
          <w:b/>
          <w:bCs/>
          <w:sz w:val="18"/>
          <w:szCs w:val="18"/>
        </w:rPr>
      </w:pPr>
    </w:p>
    <w:p w:rsidR="003C42BD" w:rsidRDefault="003C42BD" w:rsidP="003C42BD">
      <w:pPr>
        <w:ind w:firstLineChars="200" w:firstLine="361"/>
        <w:rPr>
          <w:rFonts w:ascii="宋体" w:hAnsi="宋体" w:hint="eastAsia"/>
          <w:b/>
          <w:bCs/>
          <w:sz w:val="18"/>
          <w:szCs w:val="18"/>
        </w:rPr>
      </w:pPr>
    </w:p>
    <w:p w:rsidR="003C42BD" w:rsidRDefault="003C42BD" w:rsidP="003C42BD">
      <w:pPr>
        <w:pStyle w:val="a3"/>
        <w:tabs>
          <w:tab w:val="left" w:pos="720"/>
        </w:tabs>
        <w:ind w:firstLineChars="200" w:firstLine="402"/>
        <w:outlineLvl w:val="0"/>
        <w:rPr>
          <w:rFonts w:ascii="黑体" w:eastAsia="黑体" w:hint="eastAsia"/>
          <w:b/>
          <w:szCs w:val="21"/>
        </w:rPr>
      </w:pPr>
      <w:r>
        <w:rPr>
          <w:rFonts w:ascii="黑体" w:eastAsia="黑体" w:hint="eastAsia"/>
          <w:b/>
          <w:szCs w:val="21"/>
        </w:rPr>
        <w:t>七、理财产品到期本金及收益兑付</w:t>
      </w:r>
    </w:p>
    <w:p w:rsidR="003C42BD" w:rsidRDefault="003C42BD" w:rsidP="003C42BD">
      <w:pPr>
        <w:ind w:firstLineChars="200" w:firstLine="361"/>
        <w:rPr>
          <w:rFonts w:ascii="宋体" w:hAnsi="宋体" w:hint="eastAsia"/>
          <w:b/>
          <w:bCs/>
          <w:sz w:val="18"/>
          <w:szCs w:val="18"/>
        </w:rPr>
      </w:pPr>
      <w:r>
        <w:rPr>
          <w:rFonts w:ascii="宋体" w:hAnsi="宋体" w:hint="eastAsia"/>
          <w:b/>
          <w:bCs/>
          <w:sz w:val="18"/>
          <w:szCs w:val="18"/>
        </w:rPr>
        <w:t>1.正常兑付</w:t>
      </w:r>
    </w:p>
    <w:p w:rsidR="003C42BD" w:rsidRDefault="003C42BD" w:rsidP="003C42BD">
      <w:pPr>
        <w:ind w:firstLineChars="200" w:firstLine="361"/>
        <w:rPr>
          <w:rFonts w:ascii="宋体" w:hAnsi="宋体" w:hint="eastAsia"/>
          <w:b/>
          <w:bCs/>
          <w:sz w:val="18"/>
          <w:szCs w:val="18"/>
        </w:rPr>
      </w:pPr>
      <w:r>
        <w:rPr>
          <w:rFonts w:ascii="宋体" w:hAnsi="宋体" w:hint="eastAsia"/>
          <w:b/>
          <w:bCs/>
          <w:sz w:val="18"/>
          <w:szCs w:val="18"/>
        </w:rPr>
        <w:t>客户持有产品至产品到期日，客户的理财本金和相应的收益在产品到期后一次性支付。中国建设银行于产品到期日后</w:t>
      </w:r>
      <w:r w:rsidR="00E30A82">
        <w:rPr>
          <w:rFonts w:ascii="宋体" w:hAnsi="宋体" w:hint="eastAsia"/>
          <w:b/>
          <w:bCs/>
          <w:sz w:val="18"/>
          <w:szCs w:val="18"/>
        </w:rPr>
        <w:t>3</w:t>
      </w:r>
      <w:r>
        <w:rPr>
          <w:rFonts w:ascii="宋体" w:hAnsi="宋体" w:hint="eastAsia"/>
          <w:b/>
          <w:bCs/>
          <w:sz w:val="18"/>
          <w:szCs w:val="18"/>
        </w:rPr>
        <w:t>个工作日内将客户理财本金和收益划转至投资者协议约定账户，遇法定节假日顺延。</w:t>
      </w:r>
    </w:p>
    <w:p w:rsidR="003C42BD" w:rsidRDefault="003C42BD" w:rsidP="003C42BD">
      <w:pPr>
        <w:ind w:firstLineChars="200" w:firstLine="361"/>
        <w:rPr>
          <w:rFonts w:ascii="宋体" w:hAnsi="宋体" w:hint="eastAsia"/>
          <w:b/>
          <w:bCs/>
          <w:sz w:val="18"/>
          <w:szCs w:val="18"/>
        </w:rPr>
      </w:pPr>
      <w:r>
        <w:rPr>
          <w:rFonts w:ascii="宋体" w:hAnsi="宋体" w:hint="eastAsia"/>
          <w:b/>
          <w:bCs/>
          <w:sz w:val="18"/>
          <w:szCs w:val="18"/>
        </w:rPr>
        <w:t>2.非正常情况</w:t>
      </w:r>
    </w:p>
    <w:p w:rsidR="003C42BD" w:rsidRDefault="003C42BD" w:rsidP="003C42BD">
      <w:pPr>
        <w:ind w:firstLineChars="200" w:firstLine="361"/>
        <w:rPr>
          <w:rFonts w:ascii="宋体" w:hAnsi="宋体" w:hint="eastAsia"/>
          <w:b/>
          <w:bCs/>
          <w:sz w:val="18"/>
          <w:szCs w:val="18"/>
        </w:rPr>
      </w:pPr>
      <w:r>
        <w:rPr>
          <w:rFonts w:ascii="宋体" w:hAnsi="宋体" w:hint="eastAsia"/>
          <w:b/>
          <w:bCs/>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3C42BD" w:rsidRDefault="003C42BD" w:rsidP="003C42BD">
      <w:pPr>
        <w:ind w:firstLineChars="200" w:firstLine="360"/>
        <w:rPr>
          <w:rFonts w:ascii="宋体" w:hAnsi="宋体" w:hint="eastAsia"/>
          <w:sz w:val="18"/>
          <w:szCs w:val="18"/>
        </w:rPr>
      </w:pPr>
    </w:p>
    <w:p w:rsidR="003C42BD" w:rsidRDefault="003C42BD" w:rsidP="003C42BD">
      <w:pPr>
        <w:ind w:firstLineChars="200" w:firstLine="360"/>
        <w:rPr>
          <w:rFonts w:ascii="宋体" w:hAnsi="宋体" w:hint="eastAsia"/>
          <w:sz w:val="18"/>
          <w:szCs w:val="18"/>
        </w:rPr>
      </w:pPr>
    </w:p>
    <w:p w:rsidR="003C42BD" w:rsidRDefault="003C42BD" w:rsidP="003C42BD">
      <w:pPr>
        <w:pStyle w:val="a3"/>
        <w:tabs>
          <w:tab w:val="left" w:pos="720"/>
        </w:tabs>
        <w:ind w:firstLineChars="200" w:firstLine="402"/>
        <w:outlineLvl w:val="0"/>
        <w:rPr>
          <w:rFonts w:ascii="黑体" w:eastAsia="黑体" w:hint="eastAsia"/>
          <w:b/>
          <w:szCs w:val="21"/>
        </w:rPr>
      </w:pPr>
      <w:r>
        <w:rPr>
          <w:rFonts w:ascii="黑体" w:eastAsia="黑体" w:hint="eastAsia"/>
          <w:b/>
          <w:szCs w:val="21"/>
        </w:rPr>
        <w:t>八、信息披露</w:t>
      </w:r>
    </w:p>
    <w:p w:rsidR="003C42BD" w:rsidRDefault="003C42BD" w:rsidP="003C42BD">
      <w:pPr>
        <w:ind w:firstLine="360"/>
        <w:rPr>
          <w:rFonts w:ascii="宋体" w:hAnsi="宋体" w:hint="eastAsia"/>
          <w:sz w:val="18"/>
          <w:szCs w:val="18"/>
        </w:rPr>
      </w:pPr>
      <w:r>
        <w:rPr>
          <w:rFonts w:ascii="宋体" w:hAnsi="宋体" w:hint="eastAsia"/>
          <w:sz w:val="18"/>
          <w:szCs w:val="18"/>
        </w:rPr>
        <w:t>1.中国建设银行通过中国建设银行网站（www.ccb.com）发布产品以下相关信息：在产品成立、正常终止或发生对产品产生重大影响之情形后的5个产品工作日内发布产品成立、产品终止、重大影响事件等信息；</w:t>
      </w:r>
      <w:r>
        <w:rPr>
          <w:rFonts w:ascii="宋体" w:hAnsi="宋体" w:hint="eastAsia"/>
          <w:bCs/>
          <w:sz w:val="18"/>
          <w:szCs w:val="18"/>
        </w:rPr>
        <w:t>如产品发生</w:t>
      </w:r>
      <w:r>
        <w:rPr>
          <w:rFonts w:ascii="宋体" w:hAnsi="宋体" w:hint="eastAsia"/>
          <w:b/>
          <w:sz w:val="18"/>
          <w:szCs w:val="18"/>
        </w:rPr>
        <w:t>延迟兑付或者分次兑付，于发生上述情形后的2个工作日内公告兑付方案；</w:t>
      </w:r>
      <w:r>
        <w:rPr>
          <w:rFonts w:ascii="宋体" w:hAnsi="宋体" w:hint="eastAsia"/>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3C42BD" w:rsidRDefault="003C42BD" w:rsidP="003C42BD">
      <w:pPr>
        <w:ind w:firstLine="360"/>
        <w:rPr>
          <w:rFonts w:ascii="宋体" w:hAnsi="宋体" w:hint="eastAsia"/>
          <w:sz w:val="18"/>
          <w:szCs w:val="18"/>
        </w:rPr>
      </w:pPr>
      <w:r>
        <w:rPr>
          <w:rFonts w:ascii="宋体" w:hAnsi="宋体" w:hint="eastAsia"/>
          <w:b/>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C42BD" w:rsidRDefault="003C42BD" w:rsidP="003C42BD">
      <w:pPr>
        <w:ind w:firstLine="360"/>
        <w:rPr>
          <w:rFonts w:ascii="宋体" w:hAnsi="宋体" w:hint="eastAsia"/>
          <w:sz w:val="18"/>
          <w:szCs w:val="18"/>
        </w:rPr>
      </w:pPr>
      <w:r>
        <w:rPr>
          <w:rFonts w:ascii="宋体" w:hAnsi="宋体" w:hint="eastAsia"/>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C42BD" w:rsidRDefault="003C42BD" w:rsidP="003C42BD">
      <w:pPr>
        <w:ind w:firstLine="360"/>
        <w:rPr>
          <w:rFonts w:ascii="宋体" w:hAnsi="宋体" w:hint="eastAsia"/>
          <w:sz w:val="18"/>
          <w:szCs w:val="18"/>
        </w:rPr>
      </w:pPr>
    </w:p>
    <w:p w:rsidR="003C42BD" w:rsidRDefault="003C42BD" w:rsidP="003C42BD">
      <w:pPr>
        <w:jc w:val="left"/>
        <w:rPr>
          <w:rFonts w:hint="eastAsia"/>
        </w:rPr>
      </w:pPr>
    </w:p>
    <w:p w:rsidR="003C42BD" w:rsidRDefault="003C42BD" w:rsidP="003C42BD"/>
    <w:p w:rsidR="003C42BD" w:rsidRPr="003C42BD" w:rsidRDefault="003C42BD"/>
    <w:sectPr w:rsidR="003C42BD" w:rsidRPr="003C42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0B9" w:rsidRDefault="002370B9" w:rsidP="00FE7959">
      <w:r>
        <w:separator/>
      </w:r>
    </w:p>
  </w:endnote>
  <w:endnote w:type="continuationSeparator" w:id="1">
    <w:p w:rsidR="002370B9" w:rsidRDefault="002370B9" w:rsidP="00FE7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0B9" w:rsidRDefault="002370B9" w:rsidP="00FE7959">
      <w:r>
        <w:separator/>
      </w:r>
    </w:p>
  </w:footnote>
  <w:footnote w:type="continuationSeparator" w:id="1">
    <w:p w:rsidR="002370B9" w:rsidRDefault="002370B9" w:rsidP="00FE79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42BD"/>
    <w:rsid w:val="0000249C"/>
    <w:rsid w:val="000052C7"/>
    <w:rsid w:val="00007E06"/>
    <w:rsid w:val="0001005D"/>
    <w:rsid w:val="00010D31"/>
    <w:rsid w:val="00011044"/>
    <w:rsid w:val="00011264"/>
    <w:rsid w:val="00015111"/>
    <w:rsid w:val="00015314"/>
    <w:rsid w:val="000237F4"/>
    <w:rsid w:val="00023D48"/>
    <w:rsid w:val="00024C08"/>
    <w:rsid w:val="00025243"/>
    <w:rsid w:val="000257A2"/>
    <w:rsid w:val="00025A12"/>
    <w:rsid w:val="00026933"/>
    <w:rsid w:val="00027B6D"/>
    <w:rsid w:val="00031247"/>
    <w:rsid w:val="00034C4A"/>
    <w:rsid w:val="0003600F"/>
    <w:rsid w:val="00037147"/>
    <w:rsid w:val="000401B8"/>
    <w:rsid w:val="00040C04"/>
    <w:rsid w:val="000433AF"/>
    <w:rsid w:val="000447F5"/>
    <w:rsid w:val="000448FB"/>
    <w:rsid w:val="00044FC7"/>
    <w:rsid w:val="000462A8"/>
    <w:rsid w:val="00046B2F"/>
    <w:rsid w:val="00046CC4"/>
    <w:rsid w:val="000475A5"/>
    <w:rsid w:val="00050190"/>
    <w:rsid w:val="00050501"/>
    <w:rsid w:val="00051445"/>
    <w:rsid w:val="00054347"/>
    <w:rsid w:val="00055272"/>
    <w:rsid w:val="0005562C"/>
    <w:rsid w:val="00055974"/>
    <w:rsid w:val="0005610C"/>
    <w:rsid w:val="00060D2B"/>
    <w:rsid w:val="000618D1"/>
    <w:rsid w:val="0006721A"/>
    <w:rsid w:val="00070822"/>
    <w:rsid w:val="00070868"/>
    <w:rsid w:val="00073A7B"/>
    <w:rsid w:val="00074A86"/>
    <w:rsid w:val="00077F3F"/>
    <w:rsid w:val="00080128"/>
    <w:rsid w:val="0008021F"/>
    <w:rsid w:val="00080E9C"/>
    <w:rsid w:val="000812B6"/>
    <w:rsid w:val="00081587"/>
    <w:rsid w:val="00082048"/>
    <w:rsid w:val="000820C7"/>
    <w:rsid w:val="000821A9"/>
    <w:rsid w:val="00086AEB"/>
    <w:rsid w:val="00087FEE"/>
    <w:rsid w:val="00090CB2"/>
    <w:rsid w:val="000915E9"/>
    <w:rsid w:val="00091AD3"/>
    <w:rsid w:val="00093A19"/>
    <w:rsid w:val="00095220"/>
    <w:rsid w:val="00096A9D"/>
    <w:rsid w:val="00097885"/>
    <w:rsid w:val="000A2E35"/>
    <w:rsid w:val="000A3599"/>
    <w:rsid w:val="000A5BBF"/>
    <w:rsid w:val="000B0670"/>
    <w:rsid w:val="000B1D18"/>
    <w:rsid w:val="000B2FD9"/>
    <w:rsid w:val="000B3B69"/>
    <w:rsid w:val="000B3EA5"/>
    <w:rsid w:val="000B4AF9"/>
    <w:rsid w:val="000B4B1B"/>
    <w:rsid w:val="000B4C03"/>
    <w:rsid w:val="000B58C2"/>
    <w:rsid w:val="000C1929"/>
    <w:rsid w:val="000C2090"/>
    <w:rsid w:val="000C229C"/>
    <w:rsid w:val="000C3062"/>
    <w:rsid w:val="000C4322"/>
    <w:rsid w:val="000C45B6"/>
    <w:rsid w:val="000C594F"/>
    <w:rsid w:val="000C5C42"/>
    <w:rsid w:val="000C7ACE"/>
    <w:rsid w:val="000D1191"/>
    <w:rsid w:val="000D46E2"/>
    <w:rsid w:val="000D6747"/>
    <w:rsid w:val="000D6D50"/>
    <w:rsid w:val="000D771E"/>
    <w:rsid w:val="000E094B"/>
    <w:rsid w:val="000E1B3E"/>
    <w:rsid w:val="000E300F"/>
    <w:rsid w:val="000E362F"/>
    <w:rsid w:val="000E5A8D"/>
    <w:rsid w:val="000E637A"/>
    <w:rsid w:val="000E7BFC"/>
    <w:rsid w:val="000F2CCD"/>
    <w:rsid w:val="000F37C3"/>
    <w:rsid w:val="000F385D"/>
    <w:rsid w:val="000F3A83"/>
    <w:rsid w:val="000F56A2"/>
    <w:rsid w:val="00101808"/>
    <w:rsid w:val="00102BD4"/>
    <w:rsid w:val="00102CD4"/>
    <w:rsid w:val="00103014"/>
    <w:rsid w:val="0010364A"/>
    <w:rsid w:val="00103C15"/>
    <w:rsid w:val="00104397"/>
    <w:rsid w:val="00106D4E"/>
    <w:rsid w:val="001104AD"/>
    <w:rsid w:val="0011146A"/>
    <w:rsid w:val="00111506"/>
    <w:rsid w:val="0011415A"/>
    <w:rsid w:val="00114CDE"/>
    <w:rsid w:val="00115416"/>
    <w:rsid w:val="00115DEF"/>
    <w:rsid w:val="0011657D"/>
    <w:rsid w:val="001172EF"/>
    <w:rsid w:val="00120FED"/>
    <w:rsid w:val="0012199D"/>
    <w:rsid w:val="00121F56"/>
    <w:rsid w:val="00122B31"/>
    <w:rsid w:val="00125EC0"/>
    <w:rsid w:val="0012689A"/>
    <w:rsid w:val="00127C9D"/>
    <w:rsid w:val="00131A16"/>
    <w:rsid w:val="00132FEB"/>
    <w:rsid w:val="00133F5A"/>
    <w:rsid w:val="00135190"/>
    <w:rsid w:val="00136C15"/>
    <w:rsid w:val="00137E8C"/>
    <w:rsid w:val="00140949"/>
    <w:rsid w:val="00142917"/>
    <w:rsid w:val="001432BD"/>
    <w:rsid w:val="00143ADF"/>
    <w:rsid w:val="00146028"/>
    <w:rsid w:val="00147264"/>
    <w:rsid w:val="001478C7"/>
    <w:rsid w:val="00150454"/>
    <w:rsid w:val="0015065B"/>
    <w:rsid w:val="001518B1"/>
    <w:rsid w:val="00152F04"/>
    <w:rsid w:val="001560BC"/>
    <w:rsid w:val="0015625A"/>
    <w:rsid w:val="00157D15"/>
    <w:rsid w:val="00160CE7"/>
    <w:rsid w:val="0016170A"/>
    <w:rsid w:val="001622C3"/>
    <w:rsid w:val="00162F61"/>
    <w:rsid w:val="00163D83"/>
    <w:rsid w:val="001645E4"/>
    <w:rsid w:val="001656C7"/>
    <w:rsid w:val="00165FE7"/>
    <w:rsid w:val="00171010"/>
    <w:rsid w:val="00171C73"/>
    <w:rsid w:val="0017203E"/>
    <w:rsid w:val="00173FA0"/>
    <w:rsid w:val="00174394"/>
    <w:rsid w:val="001766DC"/>
    <w:rsid w:val="00177033"/>
    <w:rsid w:val="001773A9"/>
    <w:rsid w:val="00184881"/>
    <w:rsid w:val="00184E6D"/>
    <w:rsid w:val="00186950"/>
    <w:rsid w:val="001902C5"/>
    <w:rsid w:val="0019383B"/>
    <w:rsid w:val="00193A6C"/>
    <w:rsid w:val="001960FB"/>
    <w:rsid w:val="00197BB2"/>
    <w:rsid w:val="001A2392"/>
    <w:rsid w:val="001A2678"/>
    <w:rsid w:val="001A57AD"/>
    <w:rsid w:val="001A669A"/>
    <w:rsid w:val="001A75E4"/>
    <w:rsid w:val="001B03B5"/>
    <w:rsid w:val="001B0C3C"/>
    <w:rsid w:val="001B3D5C"/>
    <w:rsid w:val="001B3EA7"/>
    <w:rsid w:val="001B5178"/>
    <w:rsid w:val="001B5E8C"/>
    <w:rsid w:val="001B6FAA"/>
    <w:rsid w:val="001B79DF"/>
    <w:rsid w:val="001B7A65"/>
    <w:rsid w:val="001B7FBB"/>
    <w:rsid w:val="001C13AF"/>
    <w:rsid w:val="001C4111"/>
    <w:rsid w:val="001C4203"/>
    <w:rsid w:val="001C5EB0"/>
    <w:rsid w:val="001C78A3"/>
    <w:rsid w:val="001D073D"/>
    <w:rsid w:val="001D24B7"/>
    <w:rsid w:val="001D65ED"/>
    <w:rsid w:val="001D7C68"/>
    <w:rsid w:val="001D7CB7"/>
    <w:rsid w:val="001D7F51"/>
    <w:rsid w:val="001E008B"/>
    <w:rsid w:val="001E0640"/>
    <w:rsid w:val="001E26D8"/>
    <w:rsid w:val="001E5FFC"/>
    <w:rsid w:val="001F057B"/>
    <w:rsid w:val="001F26C5"/>
    <w:rsid w:val="001F36B9"/>
    <w:rsid w:val="001F4F6F"/>
    <w:rsid w:val="001F524F"/>
    <w:rsid w:val="002008F1"/>
    <w:rsid w:val="00201F7E"/>
    <w:rsid w:val="00204DE8"/>
    <w:rsid w:val="00204E3D"/>
    <w:rsid w:val="00205CF4"/>
    <w:rsid w:val="002065A9"/>
    <w:rsid w:val="0020681B"/>
    <w:rsid w:val="00206EBE"/>
    <w:rsid w:val="00211068"/>
    <w:rsid w:val="0021173F"/>
    <w:rsid w:val="0021263B"/>
    <w:rsid w:val="00212990"/>
    <w:rsid w:val="00220C44"/>
    <w:rsid w:val="00220E2B"/>
    <w:rsid w:val="002221C9"/>
    <w:rsid w:val="0022269C"/>
    <w:rsid w:val="002228DB"/>
    <w:rsid w:val="002247A6"/>
    <w:rsid w:val="00226AFF"/>
    <w:rsid w:val="00227A71"/>
    <w:rsid w:val="00227D3E"/>
    <w:rsid w:val="00230928"/>
    <w:rsid w:val="00232497"/>
    <w:rsid w:val="002370B9"/>
    <w:rsid w:val="0024394B"/>
    <w:rsid w:val="00244679"/>
    <w:rsid w:val="00244E31"/>
    <w:rsid w:val="00245864"/>
    <w:rsid w:val="002467A8"/>
    <w:rsid w:val="002472E1"/>
    <w:rsid w:val="00247797"/>
    <w:rsid w:val="00251B4E"/>
    <w:rsid w:val="00251CA9"/>
    <w:rsid w:val="00252FA4"/>
    <w:rsid w:val="002537B2"/>
    <w:rsid w:val="0025413C"/>
    <w:rsid w:val="00254590"/>
    <w:rsid w:val="00255DDA"/>
    <w:rsid w:val="002568AD"/>
    <w:rsid w:val="00257514"/>
    <w:rsid w:val="00257F1D"/>
    <w:rsid w:val="00263161"/>
    <w:rsid w:val="00263B93"/>
    <w:rsid w:val="00266126"/>
    <w:rsid w:val="002674B6"/>
    <w:rsid w:val="0027184A"/>
    <w:rsid w:val="00271D98"/>
    <w:rsid w:val="00271E3C"/>
    <w:rsid w:val="0027411D"/>
    <w:rsid w:val="00274CA9"/>
    <w:rsid w:val="00275990"/>
    <w:rsid w:val="002818C3"/>
    <w:rsid w:val="00282226"/>
    <w:rsid w:val="00282419"/>
    <w:rsid w:val="00282B9E"/>
    <w:rsid w:val="00282E73"/>
    <w:rsid w:val="00284571"/>
    <w:rsid w:val="00284DC5"/>
    <w:rsid w:val="0028613C"/>
    <w:rsid w:val="00286B68"/>
    <w:rsid w:val="00291420"/>
    <w:rsid w:val="00297C52"/>
    <w:rsid w:val="002A3BBF"/>
    <w:rsid w:val="002A40DE"/>
    <w:rsid w:val="002B0704"/>
    <w:rsid w:val="002B2A73"/>
    <w:rsid w:val="002B4BC6"/>
    <w:rsid w:val="002B4D6A"/>
    <w:rsid w:val="002B61DA"/>
    <w:rsid w:val="002B75A2"/>
    <w:rsid w:val="002C1BFE"/>
    <w:rsid w:val="002C4ED6"/>
    <w:rsid w:val="002C652E"/>
    <w:rsid w:val="002D01C5"/>
    <w:rsid w:val="002D1105"/>
    <w:rsid w:val="002D1A49"/>
    <w:rsid w:val="002D2603"/>
    <w:rsid w:val="002D419A"/>
    <w:rsid w:val="002D7DBF"/>
    <w:rsid w:val="002E05BC"/>
    <w:rsid w:val="002E1E63"/>
    <w:rsid w:val="002E200D"/>
    <w:rsid w:val="002E6F89"/>
    <w:rsid w:val="002E6FE4"/>
    <w:rsid w:val="002E7AF0"/>
    <w:rsid w:val="002E7C3F"/>
    <w:rsid w:val="002F0075"/>
    <w:rsid w:val="002F08C3"/>
    <w:rsid w:val="002F0B98"/>
    <w:rsid w:val="002F349F"/>
    <w:rsid w:val="002F34B7"/>
    <w:rsid w:val="002F5D76"/>
    <w:rsid w:val="0030042D"/>
    <w:rsid w:val="00301DFC"/>
    <w:rsid w:val="00302BB7"/>
    <w:rsid w:val="00302C67"/>
    <w:rsid w:val="00303F00"/>
    <w:rsid w:val="003042F9"/>
    <w:rsid w:val="0030524A"/>
    <w:rsid w:val="0030561F"/>
    <w:rsid w:val="003077DF"/>
    <w:rsid w:val="0031546E"/>
    <w:rsid w:val="00315F61"/>
    <w:rsid w:val="00317A88"/>
    <w:rsid w:val="003224E5"/>
    <w:rsid w:val="003247E8"/>
    <w:rsid w:val="003258CE"/>
    <w:rsid w:val="00325A45"/>
    <w:rsid w:val="00326B7E"/>
    <w:rsid w:val="003303DD"/>
    <w:rsid w:val="00330C2C"/>
    <w:rsid w:val="00334BD9"/>
    <w:rsid w:val="003351EC"/>
    <w:rsid w:val="00340C4B"/>
    <w:rsid w:val="003428B9"/>
    <w:rsid w:val="003431C7"/>
    <w:rsid w:val="00344154"/>
    <w:rsid w:val="00344A74"/>
    <w:rsid w:val="00345126"/>
    <w:rsid w:val="003456CE"/>
    <w:rsid w:val="00351D64"/>
    <w:rsid w:val="00352360"/>
    <w:rsid w:val="00352962"/>
    <w:rsid w:val="00354490"/>
    <w:rsid w:val="00360370"/>
    <w:rsid w:val="00360A8D"/>
    <w:rsid w:val="00362D52"/>
    <w:rsid w:val="0036381E"/>
    <w:rsid w:val="00370102"/>
    <w:rsid w:val="0037020C"/>
    <w:rsid w:val="0037194D"/>
    <w:rsid w:val="00372EF4"/>
    <w:rsid w:val="00375F0F"/>
    <w:rsid w:val="00376B94"/>
    <w:rsid w:val="00377976"/>
    <w:rsid w:val="00380E87"/>
    <w:rsid w:val="003823C3"/>
    <w:rsid w:val="00383735"/>
    <w:rsid w:val="00383D34"/>
    <w:rsid w:val="0038589A"/>
    <w:rsid w:val="0038668B"/>
    <w:rsid w:val="00387E26"/>
    <w:rsid w:val="003901E8"/>
    <w:rsid w:val="00392002"/>
    <w:rsid w:val="00396087"/>
    <w:rsid w:val="00396883"/>
    <w:rsid w:val="003A0A37"/>
    <w:rsid w:val="003A4382"/>
    <w:rsid w:val="003A69D4"/>
    <w:rsid w:val="003A7B8E"/>
    <w:rsid w:val="003B0B23"/>
    <w:rsid w:val="003B11F9"/>
    <w:rsid w:val="003B38A1"/>
    <w:rsid w:val="003B3AC6"/>
    <w:rsid w:val="003B3B21"/>
    <w:rsid w:val="003B41A1"/>
    <w:rsid w:val="003B5D20"/>
    <w:rsid w:val="003B6300"/>
    <w:rsid w:val="003B71DD"/>
    <w:rsid w:val="003B7A9A"/>
    <w:rsid w:val="003C014B"/>
    <w:rsid w:val="003C1756"/>
    <w:rsid w:val="003C1932"/>
    <w:rsid w:val="003C2453"/>
    <w:rsid w:val="003C42BD"/>
    <w:rsid w:val="003C42CF"/>
    <w:rsid w:val="003C4ECB"/>
    <w:rsid w:val="003C7123"/>
    <w:rsid w:val="003D1AAE"/>
    <w:rsid w:val="003D5BA0"/>
    <w:rsid w:val="003D61FF"/>
    <w:rsid w:val="003E4381"/>
    <w:rsid w:val="003E513C"/>
    <w:rsid w:val="003F2757"/>
    <w:rsid w:val="003F5337"/>
    <w:rsid w:val="003F5BD7"/>
    <w:rsid w:val="003F73B4"/>
    <w:rsid w:val="00400043"/>
    <w:rsid w:val="00404EDE"/>
    <w:rsid w:val="004058EF"/>
    <w:rsid w:val="00406A26"/>
    <w:rsid w:val="0040749D"/>
    <w:rsid w:val="00410060"/>
    <w:rsid w:val="0041068A"/>
    <w:rsid w:val="00410960"/>
    <w:rsid w:val="00410BD0"/>
    <w:rsid w:val="00411D96"/>
    <w:rsid w:val="00412321"/>
    <w:rsid w:val="00412C84"/>
    <w:rsid w:val="0041415B"/>
    <w:rsid w:val="00415EF7"/>
    <w:rsid w:val="00421B0E"/>
    <w:rsid w:val="004226B2"/>
    <w:rsid w:val="00425F86"/>
    <w:rsid w:val="00431296"/>
    <w:rsid w:val="00433694"/>
    <w:rsid w:val="00437ABF"/>
    <w:rsid w:val="00437FEC"/>
    <w:rsid w:val="0044226F"/>
    <w:rsid w:val="00443131"/>
    <w:rsid w:val="00443296"/>
    <w:rsid w:val="00444AF9"/>
    <w:rsid w:val="00447709"/>
    <w:rsid w:val="00447E7C"/>
    <w:rsid w:val="00453907"/>
    <w:rsid w:val="00454385"/>
    <w:rsid w:val="00454875"/>
    <w:rsid w:val="0045513D"/>
    <w:rsid w:val="004565CE"/>
    <w:rsid w:val="00456865"/>
    <w:rsid w:val="00461709"/>
    <w:rsid w:val="00461EA2"/>
    <w:rsid w:val="004659A8"/>
    <w:rsid w:val="0046663B"/>
    <w:rsid w:val="00467790"/>
    <w:rsid w:val="00467C7E"/>
    <w:rsid w:val="00467DF8"/>
    <w:rsid w:val="004719B9"/>
    <w:rsid w:val="004721DB"/>
    <w:rsid w:val="00472286"/>
    <w:rsid w:val="00472E0F"/>
    <w:rsid w:val="004746B9"/>
    <w:rsid w:val="004761D7"/>
    <w:rsid w:val="0048075C"/>
    <w:rsid w:val="004807A8"/>
    <w:rsid w:val="0048430F"/>
    <w:rsid w:val="00485C81"/>
    <w:rsid w:val="00485EF0"/>
    <w:rsid w:val="00491BDA"/>
    <w:rsid w:val="004964A2"/>
    <w:rsid w:val="00496E09"/>
    <w:rsid w:val="004A041F"/>
    <w:rsid w:val="004A2761"/>
    <w:rsid w:val="004A3030"/>
    <w:rsid w:val="004A354E"/>
    <w:rsid w:val="004A3577"/>
    <w:rsid w:val="004A3D4D"/>
    <w:rsid w:val="004A5F67"/>
    <w:rsid w:val="004A7ACB"/>
    <w:rsid w:val="004B40DA"/>
    <w:rsid w:val="004B5C83"/>
    <w:rsid w:val="004B676B"/>
    <w:rsid w:val="004B6B8E"/>
    <w:rsid w:val="004B7118"/>
    <w:rsid w:val="004B7A3E"/>
    <w:rsid w:val="004C03DA"/>
    <w:rsid w:val="004C056B"/>
    <w:rsid w:val="004C4270"/>
    <w:rsid w:val="004C6328"/>
    <w:rsid w:val="004C67DB"/>
    <w:rsid w:val="004D0E91"/>
    <w:rsid w:val="004D1A28"/>
    <w:rsid w:val="004D1C16"/>
    <w:rsid w:val="004D3C0C"/>
    <w:rsid w:val="004D3FDE"/>
    <w:rsid w:val="004D5034"/>
    <w:rsid w:val="004D5A92"/>
    <w:rsid w:val="004D6BF3"/>
    <w:rsid w:val="004D75C8"/>
    <w:rsid w:val="004E1C91"/>
    <w:rsid w:val="004E25BB"/>
    <w:rsid w:val="004E28E4"/>
    <w:rsid w:val="004E3244"/>
    <w:rsid w:val="004E3620"/>
    <w:rsid w:val="004E38FE"/>
    <w:rsid w:val="004E4B1E"/>
    <w:rsid w:val="004E5436"/>
    <w:rsid w:val="004E5FDE"/>
    <w:rsid w:val="004E695B"/>
    <w:rsid w:val="004F0ADC"/>
    <w:rsid w:val="004F1E77"/>
    <w:rsid w:val="004F3148"/>
    <w:rsid w:val="004F44B7"/>
    <w:rsid w:val="004F5E51"/>
    <w:rsid w:val="004F660B"/>
    <w:rsid w:val="004F75D4"/>
    <w:rsid w:val="004F7603"/>
    <w:rsid w:val="0050093A"/>
    <w:rsid w:val="00500EEC"/>
    <w:rsid w:val="00500FFE"/>
    <w:rsid w:val="005017EA"/>
    <w:rsid w:val="00502BCF"/>
    <w:rsid w:val="005043CB"/>
    <w:rsid w:val="00506499"/>
    <w:rsid w:val="00510B9A"/>
    <w:rsid w:val="00511FE2"/>
    <w:rsid w:val="00513B8D"/>
    <w:rsid w:val="00525135"/>
    <w:rsid w:val="0052592C"/>
    <w:rsid w:val="005279F2"/>
    <w:rsid w:val="005310DF"/>
    <w:rsid w:val="005317EE"/>
    <w:rsid w:val="0053332D"/>
    <w:rsid w:val="005351F9"/>
    <w:rsid w:val="005353D7"/>
    <w:rsid w:val="00537BE5"/>
    <w:rsid w:val="00537FD4"/>
    <w:rsid w:val="00537FE7"/>
    <w:rsid w:val="00543A69"/>
    <w:rsid w:val="005448FD"/>
    <w:rsid w:val="00545947"/>
    <w:rsid w:val="00550B04"/>
    <w:rsid w:val="005520A2"/>
    <w:rsid w:val="0055285B"/>
    <w:rsid w:val="00553C11"/>
    <w:rsid w:val="005553B4"/>
    <w:rsid w:val="00557633"/>
    <w:rsid w:val="00560B81"/>
    <w:rsid w:val="005615D7"/>
    <w:rsid w:val="00563188"/>
    <w:rsid w:val="0056472D"/>
    <w:rsid w:val="00565795"/>
    <w:rsid w:val="00565BEA"/>
    <w:rsid w:val="00565DBC"/>
    <w:rsid w:val="00566206"/>
    <w:rsid w:val="0056705D"/>
    <w:rsid w:val="00570F03"/>
    <w:rsid w:val="00572986"/>
    <w:rsid w:val="00574792"/>
    <w:rsid w:val="0057652F"/>
    <w:rsid w:val="00582995"/>
    <w:rsid w:val="00582A73"/>
    <w:rsid w:val="00582B54"/>
    <w:rsid w:val="0058496C"/>
    <w:rsid w:val="00590015"/>
    <w:rsid w:val="005905F7"/>
    <w:rsid w:val="00592383"/>
    <w:rsid w:val="00594D17"/>
    <w:rsid w:val="00596949"/>
    <w:rsid w:val="005A102F"/>
    <w:rsid w:val="005A2A19"/>
    <w:rsid w:val="005A39EA"/>
    <w:rsid w:val="005A3F6C"/>
    <w:rsid w:val="005A5A8A"/>
    <w:rsid w:val="005A5ADD"/>
    <w:rsid w:val="005A5DE0"/>
    <w:rsid w:val="005B01C2"/>
    <w:rsid w:val="005B0DBA"/>
    <w:rsid w:val="005B0FAF"/>
    <w:rsid w:val="005B1F8B"/>
    <w:rsid w:val="005B27BD"/>
    <w:rsid w:val="005B42B1"/>
    <w:rsid w:val="005B6001"/>
    <w:rsid w:val="005B6851"/>
    <w:rsid w:val="005C0AB6"/>
    <w:rsid w:val="005C0B29"/>
    <w:rsid w:val="005C5620"/>
    <w:rsid w:val="005C566D"/>
    <w:rsid w:val="005C70C7"/>
    <w:rsid w:val="005D067B"/>
    <w:rsid w:val="005D2418"/>
    <w:rsid w:val="005D4B8D"/>
    <w:rsid w:val="005D4C50"/>
    <w:rsid w:val="005D58F2"/>
    <w:rsid w:val="005D5978"/>
    <w:rsid w:val="005D5D3F"/>
    <w:rsid w:val="005D6743"/>
    <w:rsid w:val="005D7302"/>
    <w:rsid w:val="005D7B98"/>
    <w:rsid w:val="005E1CC9"/>
    <w:rsid w:val="005E3C3F"/>
    <w:rsid w:val="005E4D05"/>
    <w:rsid w:val="005E59D2"/>
    <w:rsid w:val="005E76D7"/>
    <w:rsid w:val="005F1D8A"/>
    <w:rsid w:val="005F473E"/>
    <w:rsid w:val="005F4B04"/>
    <w:rsid w:val="005F53A2"/>
    <w:rsid w:val="005F5A3C"/>
    <w:rsid w:val="005F62DF"/>
    <w:rsid w:val="005F6CD9"/>
    <w:rsid w:val="005F727C"/>
    <w:rsid w:val="005F7471"/>
    <w:rsid w:val="005F7A19"/>
    <w:rsid w:val="0060020B"/>
    <w:rsid w:val="00603253"/>
    <w:rsid w:val="0060360F"/>
    <w:rsid w:val="00604095"/>
    <w:rsid w:val="006054A9"/>
    <w:rsid w:val="0060630B"/>
    <w:rsid w:val="00607832"/>
    <w:rsid w:val="00607B52"/>
    <w:rsid w:val="0061012D"/>
    <w:rsid w:val="0061036E"/>
    <w:rsid w:val="00610CC0"/>
    <w:rsid w:val="00611D0D"/>
    <w:rsid w:val="0061439E"/>
    <w:rsid w:val="00614545"/>
    <w:rsid w:val="00614FB2"/>
    <w:rsid w:val="006157D7"/>
    <w:rsid w:val="00616014"/>
    <w:rsid w:val="006209F8"/>
    <w:rsid w:val="00620BCC"/>
    <w:rsid w:val="00620FB7"/>
    <w:rsid w:val="00622187"/>
    <w:rsid w:val="006223BF"/>
    <w:rsid w:val="006236E5"/>
    <w:rsid w:val="00623FF7"/>
    <w:rsid w:val="00624BC2"/>
    <w:rsid w:val="00626C45"/>
    <w:rsid w:val="00631188"/>
    <w:rsid w:val="0063312B"/>
    <w:rsid w:val="00633788"/>
    <w:rsid w:val="0063397D"/>
    <w:rsid w:val="006424A5"/>
    <w:rsid w:val="00643A48"/>
    <w:rsid w:val="0064411A"/>
    <w:rsid w:val="0064526C"/>
    <w:rsid w:val="006458A8"/>
    <w:rsid w:val="00652825"/>
    <w:rsid w:val="00654418"/>
    <w:rsid w:val="00654611"/>
    <w:rsid w:val="0065652D"/>
    <w:rsid w:val="00656E03"/>
    <w:rsid w:val="00657524"/>
    <w:rsid w:val="00657C83"/>
    <w:rsid w:val="006602D4"/>
    <w:rsid w:val="006604B0"/>
    <w:rsid w:val="00660D98"/>
    <w:rsid w:val="0066280E"/>
    <w:rsid w:val="006640EE"/>
    <w:rsid w:val="006641A5"/>
    <w:rsid w:val="00664493"/>
    <w:rsid w:val="0066635D"/>
    <w:rsid w:val="00666A36"/>
    <w:rsid w:val="006674D9"/>
    <w:rsid w:val="00673B69"/>
    <w:rsid w:val="00676D35"/>
    <w:rsid w:val="00676FEA"/>
    <w:rsid w:val="0068189E"/>
    <w:rsid w:val="00681A62"/>
    <w:rsid w:val="006861B5"/>
    <w:rsid w:val="00687ED4"/>
    <w:rsid w:val="0069249A"/>
    <w:rsid w:val="00694B0F"/>
    <w:rsid w:val="0069714A"/>
    <w:rsid w:val="006A0A10"/>
    <w:rsid w:val="006A0A24"/>
    <w:rsid w:val="006A366A"/>
    <w:rsid w:val="006A3DA5"/>
    <w:rsid w:val="006A7FF9"/>
    <w:rsid w:val="006B160E"/>
    <w:rsid w:val="006B2889"/>
    <w:rsid w:val="006B4AD0"/>
    <w:rsid w:val="006B4E76"/>
    <w:rsid w:val="006B53EE"/>
    <w:rsid w:val="006C1DF2"/>
    <w:rsid w:val="006C25D0"/>
    <w:rsid w:val="006C3675"/>
    <w:rsid w:val="006C3F7D"/>
    <w:rsid w:val="006C41E4"/>
    <w:rsid w:val="006C5DA3"/>
    <w:rsid w:val="006C62D4"/>
    <w:rsid w:val="006C700C"/>
    <w:rsid w:val="006C78B1"/>
    <w:rsid w:val="006D188A"/>
    <w:rsid w:val="006D20BF"/>
    <w:rsid w:val="006D229B"/>
    <w:rsid w:val="006D2A8D"/>
    <w:rsid w:val="006D33A8"/>
    <w:rsid w:val="006D3DB9"/>
    <w:rsid w:val="006E1525"/>
    <w:rsid w:val="006E19F8"/>
    <w:rsid w:val="006E2AEF"/>
    <w:rsid w:val="006E382F"/>
    <w:rsid w:val="006E3A36"/>
    <w:rsid w:val="006E50D5"/>
    <w:rsid w:val="006F00E0"/>
    <w:rsid w:val="006F422F"/>
    <w:rsid w:val="006F65D8"/>
    <w:rsid w:val="006F68DF"/>
    <w:rsid w:val="006F6D8A"/>
    <w:rsid w:val="007026D6"/>
    <w:rsid w:val="00703B0C"/>
    <w:rsid w:val="007044F0"/>
    <w:rsid w:val="00704F70"/>
    <w:rsid w:val="0070584D"/>
    <w:rsid w:val="0070633E"/>
    <w:rsid w:val="0070647D"/>
    <w:rsid w:val="00710849"/>
    <w:rsid w:val="00710F62"/>
    <w:rsid w:val="00711886"/>
    <w:rsid w:val="00712DBE"/>
    <w:rsid w:val="00715C55"/>
    <w:rsid w:val="00717F37"/>
    <w:rsid w:val="00720560"/>
    <w:rsid w:val="00720734"/>
    <w:rsid w:val="00720BF7"/>
    <w:rsid w:val="007225A9"/>
    <w:rsid w:val="007226B1"/>
    <w:rsid w:val="007241A3"/>
    <w:rsid w:val="007254C9"/>
    <w:rsid w:val="00725DB1"/>
    <w:rsid w:val="00726FAA"/>
    <w:rsid w:val="00730A1B"/>
    <w:rsid w:val="00730EEA"/>
    <w:rsid w:val="007336D0"/>
    <w:rsid w:val="0073416A"/>
    <w:rsid w:val="007348ED"/>
    <w:rsid w:val="00737153"/>
    <w:rsid w:val="00737C1A"/>
    <w:rsid w:val="00740910"/>
    <w:rsid w:val="0074235D"/>
    <w:rsid w:val="007437B1"/>
    <w:rsid w:val="00744349"/>
    <w:rsid w:val="00744F58"/>
    <w:rsid w:val="00745DFB"/>
    <w:rsid w:val="00746F5F"/>
    <w:rsid w:val="00750F90"/>
    <w:rsid w:val="007513F4"/>
    <w:rsid w:val="00753F98"/>
    <w:rsid w:val="00754A7E"/>
    <w:rsid w:val="007569A1"/>
    <w:rsid w:val="00756E1B"/>
    <w:rsid w:val="007625DE"/>
    <w:rsid w:val="00762E45"/>
    <w:rsid w:val="00762F0C"/>
    <w:rsid w:val="007655B5"/>
    <w:rsid w:val="00765E7F"/>
    <w:rsid w:val="00765F9D"/>
    <w:rsid w:val="0076605E"/>
    <w:rsid w:val="00766611"/>
    <w:rsid w:val="007668C5"/>
    <w:rsid w:val="00767F06"/>
    <w:rsid w:val="007704A9"/>
    <w:rsid w:val="00770F54"/>
    <w:rsid w:val="007723D9"/>
    <w:rsid w:val="00772545"/>
    <w:rsid w:val="00772AFB"/>
    <w:rsid w:val="007752CA"/>
    <w:rsid w:val="00775BD3"/>
    <w:rsid w:val="00777164"/>
    <w:rsid w:val="00782E3D"/>
    <w:rsid w:val="00784870"/>
    <w:rsid w:val="00785DA8"/>
    <w:rsid w:val="007873F7"/>
    <w:rsid w:val="00790E9E"/>
    <w:rsid w:val="007922C6"/>
    <w:rsid w:val="00792C9E"/>
    <w:rsid w:val="007935D0"/>
    <w:rsid w:val="007948A6"/>
    <w:rsid w:val="00795752"/>
    <w:rsid w:val="00797B63"/>
    <w:rsid w:val="00797E5B"/>
    <w:rsid w:val="00797FF6"/>
    <w:rsid w:val="007A0110"/>
    <w:rsid w:val="007A2F98"/>
    <w:rsid w:val="007A5AA2"/>
    <w:rsid w:val="007A6360"/>
    <w:rsid w:val="007A6800"/>
    <w:rsid w:val="007B032B"/>
    <w:rsid w:val="007B3097"/>
    <w:rsid w:val="007B4062"/>
    <w:rsid w:val="007B5652"/>
    <w:rsid w:val="007B6D97"/>
    <w:rsid w:val="007B72EA"/>
    <w:rsid w:val="007C0623"/>
    <w:rsid w:val="007C1BC8"/>
    <w:rsid w:val="007C4345"/>
    <w:rsid w:val="007C47A8"/>
    <w:rsid w:val="007C5284"/>
    <w:rsid w:val="007C6486"/>
    <w:rsid w:val="007D02FE"/>
    <w:rsid w:val="007D2360"/>
    <w:rsid w:val="007D30EC"/>
    <w:rsid w:val="007D394B"/>
    <w:rsid w:val="007D3FB3"/>
    <w:rsid w:val="007D5176"/>
    <w:rsid w:val="007D5ECB"/>
    <w:rsid w:val="007D5F10"/>
    <w:rsid w:val="007E0628"/>
    <w:rsid w:val="007E3AB0"/>
    <w:rsid w:val="007E3DB8"/>
    <w:rsid w:val="007E4D91"/>
    <w:rsid w:val="007E5176"/>
    <w:rsid w:val="007E6775"/>
    <w:rsid w:val="007F0B4F"/>
    <w:rsid w:val="007F0EFA"/>
    <w:rsid w:val="007F27DC"/>
    <w:rsid w:val="007F30F8"/>
    <w:rsid w:val="008046DB"/>
    <w:rsid w:val="00806B0B"/>
    <w:rsid w:val="0080703A"/>
    <w:rsid w:val="00807B5A"/>
    <w:rsid w:val="00813400"/>
    <w:rsid w:val="00814D13"/>
    <w:rsid w:val="00816D86"/>
    <w:rsid w:val="00817AB8"/>
    <w:rsid w:val="008204A7"/>
    <w:rsid w:val="00820A57"/>
    <w:rsid w:val="00822630"/>
    <w:rsid w:val="00822720"/>
    <w:rsid w:val="0082278B"/>
    <w:rsid w:val="0082305C"/>
    <w:rsid w:val="00824050"/>
    <w:rsid w:val="00824CCF"/>
    <w:rsid w:val="008309D4"/>
    <w:rsid w:val="00831FFA"/>
    <w:rsid w:val="00833141"/>
    <w:rsid w:val="00835617"/>
    <w:rsid w:val="0083592F"/>
    <w:rsid w:val="008470E0"/>
    <w:rsid w:val="00853250"/>
    <w:rsid w:val="00853E04"/>
    <w:rsid w:val="008547EB"/>
    <w:rsid w:val="008548A4"/>
    <w:rsid w:val="00854956"/>
    <w:rsid w:val="00854D8B"/>
    <w:rsid w:val="00857D2A"/>
    <w:rsid w:val="00861A53"/>
    <w:rsid w:val="00863F11"/>
    <w:rsid w:val="00865BB5"/>
    <w:rsid w:val="0087141D"/>
    <w:rsid w:val="0087219D"/>
    <w:rsid w:val="008745DF"/>
    <w:rsid w:val="0087723D"/>
    <w:rsid w:val="00880645"/>
    <w:rsid w:val="0088078F"/>
    <w:rsid w:val="00882345"/>
    <w:rsid w:val="008856C2"/>
    <w:rsid w:val="00885D4C"/>
    <w:rsid w:val="00886C69"/>
    <w:rsid w:val="00887C6A"/>
    <w:rsid w:val="008901F1"/>
    <w:rsid w:val="00891003"/>
    <w:rsid w:val="00891746"/>
    <w:rsid w:val="00891BD8"/>
    <w:rsid w:val="00892D92"/>
    <w:rsid w:val="00893C73"/>
    <w:rsid w:val="0089454E"/>
    <w:rsid w:val="008964BE"/>
    <w:rsid w:val="008A3827"/>
    <w:rsid w:val="008A4C1C"/>
    <w:rsid w:val="008A5E33"/>
    <w:rsid w:val="008A6724"/>
    <w:rsid w:val="008A7789"/>
    <w:rsid w:val="008B06D1"/>
    <w:rsid w:val="008B3916"/>
    <w:rsid w:val="008B3A84"/>
    <w:rsid w:val="008B44E7"/>
    <w:rsid w:val="008B5852"/>
    <w:rsid w:val="008B6660"/>
    <w:rsid w:val="008C058B"/>
    <w:rsid w:val="008C1E2A"/>
    <w:rsid w:val="008C2D50"/>
    <w:rsid w:val="008D0A45"/>
    <w:rsid w:val="008D0F5E"/>
    <w:rsid w:val="008D1445"/>
    <w:rsid w:val="008D2676"/>
    <w:rsid w:val="008D3A01"/>
    <w:rsid w:val="008D5C73"/>
    <w:rsid w:val="008D6096"/>
    <w:rsid w:val="008D627D"/>
    <w:rsid w:val="008D66DC"/>
    <w:rsid w:val="008D6FED"/>
    <w:rsid w:val="008D71D5"/>
    <w:rsid w:val="008D78C6"/>
    <w:rsid w:val="008E15E6"/>
    <w:rsid w:val="008E304F"/>
    <w:rsid w:val="008E3479"/>
    <w:rsid w:val="008E3927"/>
    <w:rsid w:val="008E482B"/>
    <w:rsid w:val="008E6234"/>
    <w:rsid w:val="008E64B2"/>
    <w:rsid w:val="008E6CA6"/>
    <w:rsid w:val="008E773B"/>
    <w:rsid w:val="008F1958"/>
    <w:rsid w:val="008F1C44"/>
    <w:rsid w:val="008F2B21"/>
    <w:rsid w:val="008F3D53"/>
    <w:rsid w:val="008F427D"/>
    <w:rsid w:val="008F4565"/>
    <w:rsid w:val="008F5B98"/>
    <w:rsid w:val="009003DB"/>
    <w:rsid w:val="009006D8"/>
    <w:rsid w:val="009021B0"/>
    <w:rsid w:val="00902EA0"/>
    <w:rsid w:val="0090408A"/>
    <w:rsid w:val="00906E5F"/>
    <w:rsid w:val="009070A7"/>
    <w:rsid w:val="0091160A"/>
    <w:rsid w:val="00913207"/>
    <w:rsid w:val="0091443D"/>
    <w:rsid w:val="00914705"/>
    <w:rsid w:val="009147B9"/>
    <w:rsid w:val="009149C7"/>
    <w:rsid w:val="00915152"/>
    <w:rsid w:val="00916C94"/>
    <w:rsid w:val="00917152"/>
    <w:rsid w:val="00920F38"/>
    <w:rsid w:val="00922850"/>
    <w:rsid w:val="00922EF6"/>
    <w:rsid w:val="00923CC2"/>
    <w:rsid w:val="0092417C"/>
    <w:rsid w:val="009248A1"/>
    <w:rsid w:val="00925030"/>
    <w:rsid w:val="009266AD"/>
    <w:rsid w:val="0092787D"/>
    <w:rsid w:val="0093040B"/>
    <w:rsid w:val="0093071D"/>
    <w:rsid w:val="00933535"/>
    <w:rsid w:val="00941FB8"/>
    <w:rsid w:val="00942785"/>
    <w:rsid w:val="009427B6"/>
    <w:rsid w:val="009431D7"/>
    <w:rsid w:val="0094356E"/>
    <w:rsid w:val="00944677"/>
    <w:rsid w:val="00944847"/>
    <w:rsid w:val="00945CB0"/>
    <w:rsid w:val="0094621E"/>
    <w:rsid w:val="00946D62"/>
    <w:rsid w:val="0094763F"/>
    <w:rsid w:val="0095005A"/>
    <w:rsid w:val="00950456"/>
    <w:rsid w:val="00950EF4"/>
    <w:rsid w:val="00952B4A"/>
    <w:rsid w:val="00954E34"/>
    <w:rsid w:val="0095562C"/>
    <w:rsid w:val="00956AE1"/>
    <w:rsid w:val="0095716C"/>
    <w:rsid w:val="00960260"/>
    <w:rsid w:val="00961634"/>
    <w:rsid w:val="00965903"/>
    <w:rsid w:val="00966828"/>
    <w:rsid w:val="009668D9"/>
    <w:rsid w:val="00973122"/>
    <w:rsid w:val="00973811"/>
    <w:rsid w:val="009748EE"/>
    <w:rsid w:val="00975CED"/>
    <w:rsid w:val="00976F16"/>
    <w:rsid w:val="0098184A"/>
    <w:rsid w:val="00981AF5"/>
    <w:rsid w:val="00983384"/>
    <w:rsid w:val="009838DD"/>
    <w:rsid w:val="00984ED9"/>
    <w:rsid w:val="00985642"/>
    <w:rsid w:val="0098689E"/>
    <w:rsid w:val="009868B7"/>
    <w:rsid w:val="00986FCB"/>
    <w:rsid w:val="00991484"/>
    <w:rsid w:val="00991616"/>
    <w:rsid w:val="00991C5B"/>
    <w:rsid w:val="00992C53"/>
    <w:rsid w:val="00995738"/>
    <w:rsid w:val="00995777"/>
    <w:rsid w:val="00997334"/>
    <w:rsid w:val="009A4C18"/>
    <w:rsid w:val="009A5D9F"/>
    <w:rsid w:val="009A726D"/>
    <w:rsid w:val="009B18C1"/>
    <w:rsid w:val="009B1D4E"/>
    <w:rsid w:val="009B4502"/>
    <w:rsid w:val="009B6114"/>
    <w:rsid w:val="009B7572"/>
    <w:rsid w:val="009B7EBA"/>
    <w:rsid w:val="009C2210"/>
    <w:rsid w:val="009C264A"/>
    <w:rsid w:val="009C4056"/>
    <w:rsid w:val="009C4E6A"/>
    <w:rsid w:val="009D18A0"/>
    <w:rsid w:val="009D1A9C"/>
    <w:rsid w:val="009D2047"/>
    <w:rsid w:val="009D2D7F"/>
    <w:rsid w:val="009D4910"/>
    <w:rsid w:val="009D4F87"/>
    <w:rsid w:val="009E1919"/>
    <w:rsid w:val="009E38A7"/>
    <w:rsid w:val="009E4452"/>
    <w:rsid w:val="009E4793"/>
    <w:rsid w:val="009E79D0"/>
    <w:rsid w:val="009F0A1D"/>
    <w:rsid w:val="009F0B2D"/>
    <w:rsid w:val="009F136E"/>
    <w:rsid w:val="009F1FD9"/>
    <w:rsid w:val="009F3480"/>
    <w:rsid w:val="009F4169"/>
    <w:rsid w:val="009F6061"/>
    <w:rsid w:val="00A009FB"/>
    <w:rsid w:val="00A03FBA"/>
    <w:rsid w:val="00A0556F"/>
    <w:rsid w:val="00A05753"/>
    <w:rsid w:val="00A05B05"/>
    <w:rsid w:val="00A11C3F"/>
    <w:rsid w:val="00A140E4"/>
    <w:rsid w:val="00A15588"/>
    <w:rsid w:val="00A16B0D"/>
    <w:rsid w:val="00A170D4"/>
    <w:rsid w:val="00A17A17"/>
    <w:rsid w:val="00A20155"/>
    <w:rsid w:val="00A209B2"/>
    <w:rsid w:val="00A214DD"/>
    <w:rsid w:val="00A228AB"/>
    <w:rsid w:val="00A23868"/>
    <w:rsid w:val="00A2394A"/>
    <w:rsid w:val="00A24368"/>
    <w:rsid w:val="00A2471A"/>
    <w:rsid w:val="00A2472D"/>
    <w:rsid w:val="00A26038"/>
    <w:rsid w:val="00A26F3E"/>
    <w:rsid w:val="00A3528D"/>
    <w:rsid w:val="00A3626F"/>
    <w:rsid w:val="00A36700"/>
    <w:rsid w:val="00A37CAB"/>
    <w:rsid w:val="00A44957"/>
    <w:rsid w:val="00A465CD"/>
    <w:rsid w:val="00A50CE9"/>
    <w:rsid w:val="00A5147B"/>
    <w:rsid w:val="00A54A94"/>
    <w:rsid w:val="00A54EFA"/>
    <w:rsid w:val="00A55756"/>
    <w:rsid w:val="00A56166"/>
    <w:rsid w:val="00A56C32"/>
    <w:rsid w:val="00A57007"/>
    <w:rsid w:val="00A63033"/>
    <w:rsid w:val="00A636A1"/>
    <w:rsid w:val="00A645AF"/>
    <w:rsid w:val="00A64733"/>
    <w:rsid w:val="00A65A6C"/>
    <w:rsid w:val="00A66CB2"/>
    <w:rsid w:val="00A66D45"/>
    <w:rsid w:val="00A67B53"/>
    <w:rsid w:val="00A67BFE"/>
    <w:rsid w:val="00A71803"/>
    <w:rsid w:val="00A724C5"/>
    <w:rsid w:val="00A726EE"/>
    <w:rsid w:val="00A768CC"/>
    <w:rsid w:val="00A803E5"/>
    <w:rsid w:val="00A813C3"/>
    <w:rsid w:val="00A81925"/>
    <w:rsid w:val="00A82DC2"/>
    <w:rsid w:val="00A82E80"/>
    <w:rsid w:val="00A834EC"/>
    <w:rsid w:val="00A84B79"/>
    <w:rsid w:val="00A90EB1"/>
    <w:rsid w:val="00A929AB"/>
    <w:rsid w:val="00A94357"/>
    <w:rsid w:val="00A94403"/>
    <w:rsid w:val="00A95A61"/>
    <w:rsid w:val="00A95B88"/>
    <w:rsid w:val="00A9785F"/>
    <w:rsid w:val="00A97974"/>
    <w:rsid w:val="00AA312D"/>
    <w:rsid w:val="00AA345D"/>
    <w:rsid w:val="00AA4121"/>
    <w:rsid w:val="00AA427D"/>
    <w:rsid w:val="00AA442F"/>
    <w:rsid w:val="00AA5196"/>
    <w:rsid w:val="00AA6062"/>
    <w:rsid w:val="00AA7BC4"/>
    <w:rsid w:val="00AA7DD0"/>
    <w:rsid w:val="00AB1762"/>
    <w:rsid w:val="00AB49D6"/>
    <w:rsid w:val="00AB4D95"/>
    <w:rsid w:val="00AB5400"/>
    <w:rsid w:val="00AB6D48"/>
    <w:rsid w:val="00AC03D4"/>
    <w:rsid w:val="00AC15FF"/>
    <w:rsid w:val="00AC42A2"/>
    <w:rsid w:val="00AC53FE"/>
    <w:rsid w:val="00AC6C2B"/>
    <w:rsid w:val="00AC7E72"/>
    <w:rsid w:val="00AD176D"/>
    <w:rsid w:val="00AD1D99"/>
    <w:rsid w:val="00AD21D5"/>
    <w:rsid w:val="00AD48B1"/>
    <w:rsid w:val="00AD5F5B"/>
    <w:rsid w:val="00AD69C5"/>
    <w:rsid w:val="00AD6DF7"/>
    <w:rsid w:val="00AD6FEC"/>
    <w:rsid w:val="00AE0125"/>
    <w:rsid w:val="00AE031D"/>
    <w:rsid w:val="00AE1A40"/>
    <w:rsid w:val="00AE1BAA"/>
    <w:rsid w:val="00AE1DFC"/>
    <w:rsid w:val="00AE28FB"/>
    <w:rsid w:val="00AE3FA4"/>
    <w:rsid w:val="00AE4D4B"/>
    <w:rsid w:val="00AE52F1"/>
    <w:rsid w:val="00AE5CA9"/>
    <w:rsid w:val="00AE62E6"/>
    <w:rsid w:val="00AE7DFD"/>
    <w:rsid w:val="00AF1FDC"/>
    <w:rsid w:val="00AF4470"/>
    <w:rsid w:val="00AF4FD1"/>
    <w:rsid w:val="00AF5425"/>
    <w:rsid w:val="00AF58B0"/>
    <w:rsid w:val="00AF5C4B"/>
    <w:rsid w:val="00AF6592"/>
    <w:rsid w:val="00AF6A43"/>
    <w:rsid w:val="00B0053A"/>
    <w:rsid w:val="00B00EAD"/>
    <w:rsid w:val="00B03822"/>
    <w:rsid w:val="00B05818"/>
    <w:rsid w:val="00B07292"/>
    <w:rsid w:val="00B0752D"/>
    <w:rsid w:val="00B07DBF"/>
    <w:rsid w:val="00B07E1C"/>
    <w:rsid w:val="00B102AC"/>
    <w:rsid w:val="00B10437"/>
    <w:rsid w:val="00B1074C"/>
    <w:rsid w:val="00B10A3B"/>
    <w:rsid w:val="00B11C13"/>
    <w:rsid w:val="00B1421A"/>
    <w:rsid w:val="00B144AB"/>
    <w:rsid w:val="00B1641B"/>
    <w:rsid w:val="00B16717"/>
    <w:rsid w:val="00B204A3"/>
    <w:rsid w:val="00B23ADA"/>
    <w:rsid w:val="00B23CC8"/>
    <w:rsid w:val="00B24FC4"/>
    <w:rsid w:val="00B2543B"/>
    <w:rsid w:val="00B25C79"/>
    <w:rsid w:val="00B30D1A"/>
    <w:rsid w:val="00B31506"/>
    <w:rsid w:val="00B33522"/>
    <w:rsid w:val="00B35BFE"/>
    <w:rsid w:val="00B363F5"/>
    <w:rsid w:val="00B36590"/>
    <w:rsid w:val="00B372B4"/>
    <w:rsid w:val="00B41000"/>
    <w:rsid w:val="00B44AF3"/>
    <w:rsid w:val="00B4571B"/>
    <w:rsid w:val="00B46651"/>
    <w:rsid w:val="00B46F7B"/>
    <w:rsid w:val="00B51113"/>
    <w:rsid w:val="00B5138C"/>
    <w:rsid w:val="00B51418"/>
    <w:rsid w:val="00B52EE4"/>
    <w:rsid w:val="00B55107"/>
    <w:rsid w:val="00B55A53"/>
    <w:rsid w:val="00B55DB0"/>
    <w:rsid w:val="00B56537"/>
    <w:rsid w:val="00B56565"/>
    <w:rsid w:val="00B57916"/>
    <w:rsid w:val="00B61A68"/>
    <w:rsid w:val="00B61B65"/>
    <w:rsid w:val="00B6271C"/>
    <w:rsid w:val="00B653E1"/>
    <w:rsid w:val="00B66F95"/>
    <w:rsid w:val="00B71CEB"/>
    <w:rsid w:val="00B73D12"/>
    <w:rsid w:val="00B74882"/>
    <w:rsid w:val="00B75965"/>
    <w:rsid w:val="00B76A29"/>
    <w:rsid w:val="00B77315"/>
    <w:rsid w:val="00B808BE"/>
    <w:rsid w:val="00B81690"/>
    <w:rsid w:val="00B839FA"/>
    <w:rsid w:val="00B84405"/>
    <w:rsid w:val="00B84960"/>
    <w:rsid w:val="00B8737C"/>
    <w:rsid w:val="00B873AB"/>
    <w:rsid w:val="00B87F87"/>
    <w:rsid w:val="00B9041F"/>
    <w:rsid w:val="00B9067E"/>
    <w:rsid w:val="00B90787"/>
    <w:rsid w:val="00B91EAB"/>
    <w:rsid w:val="00B92028"/>
    <w:rsid w:val="00BA0518"/>
    <w:rsid w:val="00BA0666"/>
    <w:rsid w:val="00BA14A9"/>
    <w:rsid w:val="00BA16A4"/>
    <w:rsid w:val="00BA27EC"/>
    <w:rsid w:val="00BA30C4"/>
    <w:rsid w:val="00BA584A"/>
    <w:rsid w:val="00BA6D07"/>
    <w:rsid w:val="00BB04FE"/>
    <w:rsid w:val="00BB1948"/>
    <w:rsid w:val="00BB3287"/>
    <w:rsid w:val="00BB58E6"/>
    <w:rsid w:val="00BB5E2B"/>
    <w:rsid w:val="00BB6002"/>
    <w:rsid w:val="00BB669E"/>
    <w:rsid w:val="00BB6C5B"/>
    <w:rsid w:val="00BC03E2"/>
    <w:rsid w:val="00BC0EDB"/>
    <w:rsid w:val="00BC1C45"/>
    <w:rsid w:val="00BC2C81"/>
    <w:rsid w:val="00BC41FA"/>
    <w:rsid w:val="00BC6025"/>
    <w:rsid w:val="00BD117B"/>
    <w:rsid w:val="00BD1E51"/>
    <w:rsid w:val="00BD2A80"/>
    <w:rsid w:val="00BD31BA"/>
    <w:rsid w:val="00BD3F97"/>
    <w:rsid w:val="00BD64F5"/>
    <w:rsid w:val="00BD6840"/>
    <w:rsid w:val="00BE0675"/>
    <w:rsid w:val="00BE2147"/>
    <w:rsid w:val="00BE5928"/>
    <w:rsid w:val="00BE6E8F"/>
    <w:rsid w:val="00BE6FCB"/>
    <w:rsid w:val="00BF0135"/>
    <w:rsid w:val="00BF0613"/>
    <w:rsid w:val="00BF0831"/>
    <w:rsid w:val="00BF140A"/>
    <w:rsid w:val="00BF1AB8"/>
    <w:rsid w:val="00BF2161"/>
    <w:rsid w:val="00BF2F0C"/>
    <w:rsid w:val="00BF3B1C"/>
    <w:rsid w:val="00BF473B"/>
    <w:rsid w:val="00BF49CB"/>
    <w:rsid w:val="00BF5161"/>
    <w:rsid w:val="00BF5638"/>
    <w:rsid w:val="00C001B1"/>
    <w:rsid w:val="00C002E9"/>
    <w:rsid w:val="00C00B41"/>
    <w:rsid w:val="00C0273A"/>
    <w:rsid w:val="00C06A01"/>
    <w:rsid w:val="00C11177"/>
    <w:rsid w:val="00C14465"/>
    <w:rsid w:val="00C157C8"/>
    <w:rsid w:val="00C15DF5"/>
    <w:rsid w:val="00C17243"/>
    <w:rsid w:val="00C176D2"/>
    <w:rsid w:val="00C20037"/>
    <w:rsid w:val="00C21E07"/>
    <w:rsid w:val="00C233FE"/>
    <w:rsid w:val="00C2368A"/>
    <w:rsid w:val="00C25026"/>
    <w:rsid w:val="00C305C4"/>
    <w:rsid w:val="00C306ED"/>
    <w:rsid w:val="00C346D4"/>
    <w:rsid w:val="00C357DA"/>
    <w:rsid w:val="00C404CF"/>
    <w:rsid w:val="00C42621"/>
    <w:rsid w:val="00C42C75"/>
    <w:rsid w:val="00C440D4"/>
    <w:rsid w:val="00C502DD"/>
    <w:rsid w:val="00C515F6"/>
    <w:rsid w:val="00C516A5"/>
    <w:rsid w:val="00C52B97"/>
    <w:rsid w:val="00C52BE0"/>
    <w:rsid w:val="00C53136"/>
    <w:rsid w:val="00C55971"/>
    <w:rsid w:val="00C57226"/>
    <w:rsid w:val="00C60317"/>
    <w:rsid w:val="00C6044C"/>
    <w:rsid w:val="00C62B75"/>
    <w:rsid w:val="00C6456E"/>
    <w:rsid w:val="00C70724"/>
    <w:rsid w:val="00C7275F"/>
    <w:rsid w:val="00C728DA"/>
    <w:rsid w:val="00C7333B"/>
    <w:rsid w:val="00C737ED"/>
    <w:rsid w:val="00C77443"/>
    <w:rsid w:val="00C80A90"/>
    <w:rsid w:val="00C80CAD"/>
    <w:rsid w:val="00C815D9"/>
    <w:rsid w:val="00C857C6"/>
    <w:rsid w:val="00C85B1D"/>
    <w:rsid w:val="00C86AB5"/>
    <w:rsid w:val="00C91129"/>
    <w:rsid w:val="00C92B84"/>
    <w:rsid w:val="00C9499A"/>
    <w:rsid w:val="00C94F25"/>
    <w:rsid w:val="00C9671B"/>
    <w:rsid w:val="00C96BD1"/>
    <w:rsid w:val="00C96D33"/>
    <w:rsid w:val="00C9708E"/>
    <w:rsid w:val="00CA2162"/>
    <w:rsid w:val="00CA3CB2"/>
    <w:rsid w:val="00CA42C1"/>
    <w:rsid w:val="00CA5578"/>
    <w:rsid w:val="00CA5638"/>
    <w:rsid w:val="00CA680A"/>
    <w:rsid w:val="00CA6B30"/>
    <w:rsid w:val="00CB0D79"/>
    <w:rsid w:val="00CB1DBA"/>
    <w:rsid w:val="00CB33FA"/>
    <w:rsid w:val="00CB3943"/>
    <w:rsid w:val="00CB3C52"/>
    <w:rsid w:val="00CB4C94"/>
    <w:rsid w:val="00CB6DB9"/>
    <w:rsid w:val="00CB7B4D"/>
    <w:rsid w:val="00CC1CB4"/>
    <w:rsid w:val="00CC1CB9"/>
    <w:rsid w:val="00CC1EF2"/>
    <w:rsid w:val="00CC5CE1"/>
    <w:rsid w:val="00CC609E"/>
    <w:rsid w:val="00CC6FE6"/>
    <w:rsid w:val="00CD0ADE"/>
    <w:rsid w:val="00CD0E59"/>
    <w:rsid w:val="00CD1A3A"/>
    <w:rsid w:val="00CD4709"/>
    <w:rsid w:val="00CD5862"/>
    <w:rsid w:val="00CD6272"/>
    <w:rsid w:val="00CE212F"/>
    <w:rsid w:val="00CE2880"/>
    <w:rsid w:val="00CE3904"/>
    <w:rsid w:val="00CE4BB2"/>
    <w:rsid w:val="00CE5581"/>
    <w:rsid w:val="00CE7D97"/>
    <w:rsid w:val="00CF0BE5"/>
    <w:rsid w:val="00CF17AB"/>
    <w:rsid w:val="00CF5D4C"/>
    <w:rsid w:val="00CF7059"/>
    <w:rsid w:val="00D01D71"/>
    <w:rsid w:val="00D02D6C"/>
    <w:rsid w:val="00D045D0"/>
    <w:rsid w:val="00D06075"/>
    <w:rsid w:val="00D07636"/>
    <w:rsid w:val="00D109C7"/>
    <w:rsid w:val="00D125AC"/>
    <w:rsid w:val="00D131EA"/>
    <w:rsid w:val="00D133AA"/>
    <w:rsid w:val="00D13726"/>
    <w:rsid w:val="00D138DF"/>
    <w:rsid w:val="00D13911"/>
    <w:rsid w:val="00D13C27"/>
    <w:rsid w:val="00D16957"/>
    <w:rsid w:val="00D17328"/>
    <w:rsid w:val="00D17520"/>
    <w:rsid w:val="00D17899"/>
    <w:rsid w:val="00D20A2D"/>
    <w:rsid w:val="00D21B81"/>
    <w:rsid w:val="00D226E5"/>
    <w:rsid w:val="00D25172"/>
    <w:rsid w:val="00D25C68"/>
    <w:rsid w:val="00D26255"/>
    <w:rsid w:val="00D27407"/>
    <w:rsid w:val="00D2794B"/>
    <w:rsid w:val="00D3038D"/>
    <w:rsid w:val="00D316B8"/>
    <w:rsid w:val="00D33669"/>
    <w:rsid w:val="00D33A41"/>
    <w:rsid w:val="00D34478"/>
    <w:rsid w:val="00D351EA"/>
    <w:rsid w:val="00D3640C"/>
    <w:rsid w:val="00D4177C"/>
    <w:rsid w:val="00D41E5E"/>
    <w:rsid w:val="00D4271F"/>
    <w:rsid w:val="00D43CAE"/>
    <w:rsid w:val="00D44D52"/>
    <w:rsid w:val="00D452BE"/>
    <w:rsid w:val="00D46839"/>
    <w:rsid w:val="00D46BD0"/>
    <w:rsid w:val="00D47257"/>
    <w:rsid w:val="00D51550"/>
    <w:rsid w:val="00D518AF"/>
    <w:rsid w:val="00D54B5D"/>
    <w:rsid w:val="00D54C60"/>
    <w:rsid w:val="00D57AF3"/>
    <w:rsid w:val="00D61694"/>
    <w:rsid w:val="00D61EA8"/>
    <w:rsid w:val="00D61FD1"/>
    <w:rsid w:val="00D6408F"/>
    <w:rsid w:val="00D646E9"/>
    <w:rsid w:val="00D650D9"/>
    <w:rsid w:val="00D65D51"/>
    <w:rsid w:val="00D67778"/>
    <w:rsid w:val="00D71412"/>
    <w:rsid w:val="00D7170E"/>
    <w:rsid w:val="00D74C04"/>
    <w:rsid w:val="00D8135E"/>
    <w:rsid w:val="00D814B0"/>
    <w:rsid w:val="00D8318E"/>
    <w:rsid w:val="00D85533"/>
    <w:rsid w:val="00D85D83"/>
    <w:rsid w:val="00D86702"/>
    <w:rsid w:val="00D86E45"/>
    <w:rsid w:val="00D876CB"/>
    <w:rsid w:val="00D878BD"/>
    <w:rsid w:val="00D87C4F"/>
    <w:rsid w:val="00D90915"/>
    <w:rsid w:val="00D91BB4"/>
    <w:rsid w:val="00D94376"/>
    <w:rsid w:val="00D94825"/>
    <w:rsid w:val="00D95C2C"/>
    <w:rsid w:val="00D96715"/>
    <w:rsid w:val="00D97926"/>
    <w:rsid w:val="00D97DB7"/>
    <w:rsid w:val="00DA091E"/>
    <w:rsid w:val="00DA0CC9"/>
    <w:rsid w:val="00DA1B33"/>
    <w:rsid w:val="00DA1E5D"/>
    <w:rsid w:val="00DA2D04"/>
    <w:rsid w:val="00DA4F2C"/>
    <w:rsid w:val="00DA6F7E"/>
    <w:rsid w:val="00DB108E"/>
    <w:rsid w:val="00DB2493"/>
    <w:rsid w:val="00DB3601"/>
    <w:rsid w:val="00DB4DD2"/>
    <w:rsid w:val="00DB69B6"/>
    <w:rsid w:val="00DC23A7"/>
    <w:rsid w:val="00DC2652"/>
    <w:rsid w:val="00DC2867"/>
    <w:rsid w:val="00DC43EF"/>
    <w:rsid w:val="00DC4EFC"/>
    <w:rsid w:val="00DC531B"/>
    <w:rsid w:val="00DD0671"/>
    <w:rsid w:val="00DD07CF"/>
    <w:rsid w:val="00DD0CCA"/>
    <w:rsid w:val="00DD20EB"/>
    <w:rsid w:val="00DD2D0F"/>
    <w:rsid w:val="00DD614F"/>
    <w:rsid w:val="00DD6264"/>
    <w:rsid w:val="00DD70F0"/>
    <w:rsid w:val="00DE190C"/>
    <w:rsid w:val="00DE2181"/>
    <w:rsid w:val="00DE38A2"/>
    <w:rsid w:val="00DE5536"/>
    <w:rsid w:val="00DE71B1"/>
    <w:rsid w:val="00DE7ECE"/>
    <w:rsid w:val="00DF0741"/>
    <w:rsid w:val="00DF2C70"/>
    <w:rsid w:val="00DF2CF8"/>
    <w:rsid w:val="00DF619C"/>
    <w:rsid w:val="00E00227"/>
    <w:rsid w:val="00E01758"/>
    <w:rsid w:val="00E01954"/>
    <w:rsid w:val="00E0330F"/>
    <w:rsid w:val="00E04223"/>
    <w:rsid w:val="00E06146"/>
    <w:rsid w:val="00E06502"/>
    <w:rsid w:val="00E0758F"/>
    <w:rsid w:val="00E1071B"/>
    <w:rsid w:val="00E133D8"/>
    <w:rsid w:val="00E140F6"/>
    <w:rsid w:val="00E141AA"/>
    <w:rsid w:val="00E14D03"/>
    <w:rsid w:val="00E15C14"/>
    <w:rsid w:val="00E209F6"/>
    <w:rsid w:val="00E21B59"/>
    <w:rsid w:val="00E21CA1"/>
    <w:rsid w:val="00E230DB"/>
    <w:rsid w:val="00E24572"/>
    <w:rsid w:val="00E2618E"/>
    <w:rsid w:val="00E27435"/>
    <w:rsid w:val="00E275AE"/>
    <w:rsid w:val="00E30A82"/>
    <w:rsid w:val="00E30DA4"/>
    <w:rsid w:val="00E3174E"/>
    <w:rsid w:val="00E322F3"/>
    <w:rsid w:val="00E33328"/>
    <w:rsid w:val="00E350D1"/>
    <w:rsid w:val="00E41314"/>
    <w:rsid w:val="00E437D0"/>
    <w:rsid w:val="00E43BF9"/>
    <w:rsid w:val="00E43D61"/>
    <w:rsid w:val="00E45CA2"/>
    <w:rsid w:val="00E46B82"/>
    <w:rsid w:val="00E55168"/>
    <w:rsid w:val="00E554E5"/>
    <w:rsid w:val="00E56234"/>
    <w:rsid w:val="00E56DCD"/>
    <w:rsid w:val="00E57CC6"/>
    <w:rsid w:val="00E60B59"/>
    <w:rsid w:val="00E60BA0"/>
    <w:rsid w:val="00E6494C"/>
    <w:rsid w:val="00E70EA9"/>
    <w:rsid w:val="00E710D7"/>
    <w:rsid w:val="00E71B3E"/>
    <w:rsid w:val="00E72982"/>
    <w:rsid w:val="00E74EA2"/>
    <w:rsid w:val="00E75D3D"/>
    <w:rsid w:val="00E80BAB"/>
    <w:rsid w:val="00E81B2E"/>
    <w:rsid w:val="00E839A9"/>
    <w:rsid w:val="00E839CD"/>
    <w:rsid w:val="00E83A1A"/>
    <w:rsid w:val="00E84B16"/>
    <w:rsid w:val="00E851A5"/>
    <w:rsid w:val="00E85652"/>
    <w:rsid w:val="00E85B88"/>
    <w:rsid w:val="00E85EB9"/>
    <w:rsid w:val="00E86397"/>
    <w:rsid w:val="00E9000B"/>
    <w:rsid w:val="00E915EC"/>
    <w:rsid w:val="00E9525B"/>
    <w:rsid w:val="00E95DE8"/>
    <w:rsid w:val="00E96314"/>
    <w:rsid w:val="00E96412"/>
    <w:rsid w:val="00E96A46"/>
    <w:rsid w:val="00E9767D"/>
    <w:rsid w:val="00EA014A"/>
    <w:rsid w:val="00EA0E06"/>
    <w:rsid w:val="00EA1818"/>
    <w:rsid w:val="00EA6392"/>
    <w:rsid w:val="00EB1360"/>
    <w:rsid w:val="00EB2190"/>
    <w:rsid w:val="00EB2E2A"/>
    <w:rsid w:val="00EB4908"/>
    <w:rsid w:val="00EB5F58"/>
    <w:rsid w:val="00EB6301"/>
    <w:rsid w:val="00EB703C"/>
    <w:rsid w:val="00EB7563"/>
    <w:rsid w:val="00EC1231"/>
    <w:rsid w:val="00EC2D22"/>
    <w:rsid w:val="00EC5CAB"/>
    <w:rsid w:val="00ED32E4"/>
    <w:rsid w:val="00ED4E60"/>
    <w:rsid w:val="00ED6039"/>
    <w:rsid w:val="00EE1AA0"/>
    <w:rsid w:val="00EE33EA"/>
    <w:rsid w:val="00EE6850"/>
    <w:rsid w:val="00EE7C43"/>
    <w:rsid w:val="00EE7D8E"/>
    <w:rsid w:val="00EF02F6"/>
    <w:rsid w:val="00EF23E6"/>
    <w:rsid w:val="00EF333E"/>
    <w:rsid w:val="00EF58B0"/>
    <w:rsid w:val="00EF72D0"/>
    <w:rsid w:val="00EF7A60"/>
    <w:rsid w:val="00F007CE"/>
    <w:rsid w:val="00F01B18"/>
    <w:rsid w:val="00F0428A"/>
    <w:rsid w:val="00F05E73"/>
    <w:rsid w:val="00F07F21"/>
    <w:rsid w:val="00F10071"/>
    <w:rsid w:val="00F116B1"/>
    <w:rsid w:val="00F12772"/>
    <w:rsid w:val="00F14618"/>
    <w:rsid w:val="00F15D63"/>
    <w:rsid w:val="00F1616A"/>
    <w:rsid w:val="00F16E76"/>
    <w:rsid w:val="00F221AB"/>
    <w:rsid w:val="00F2276E"/>
    <w:rsid w:val="00F23A9A"/>
    <w:rsid w:val="00F23B81"/>
    <w:rsid w:val="00F24F1F"/>
    <w:rsid w:val="00F25227"/>
    <w:rsid w:val="00F25B14"/>
    <w:rsid w:val="00F263E5"/>
    <w:rsid w:val="00F2728B"/>
    <w:rsid w:val="00F27FF9"/>
    <w:rsid w:val="00F328F2"/>
    <w:rsid w:val="00F34779"/>
    <w:rsid w:val="00F35575"/>
    <w:rsid w:val="00F35840"/>
    <w:rsid w:val="00F36C96"/>
    <w:rsid w:val="00F400E3"/>
    <w:rsid w:val="00F405B2"/>
    <w:rsid w:val="00F4151C"/>
    <w:rsid w:val="00F41D52"/>
    <w:rsid w:val="00F42650"/>
    <w:rsid w:val="00F42656"/>
    <w:rsid w:val="00F42C74"/>
    <w:rsid w:val="00F43654"/>
    <w:rsid w:val="00F50259"/>
    <w:rsid w:val="00F503F9"/>
    <w:rsid w:val="00F513A9"/>
    <w:rsid w:val="00F51742"/>
    <w:rsid w:val="00F51DF5"/>
    <w:rsid w:val="00F53FDC"/>
    <w:rsid w:val="00F568FA"/>
    <w:rsid w:val="00F56F3B"/>
    <w:rsid w:val="00F619CA"/>
    <w:rsid w:val="00F61F22"/>
    <w:rsid w:val="00F65E36"/>
    <w:rsid w:val="00F668AC"/>
    <w:rsid w:val="00F73AAC"/>
    <w:rsid w:val="00F75046"/>
    <w:rsid w:val="00F7567B"/>
    <w:rsid w:val="00F76A10"/>
    <w:rsid w:val="00F80568"/>
    <w:rsid w:val="00F80F89"/>
    <w:rsid w:val="00F8157E"/>
    <w:rsid w:val="00F83AB0"/>
    <w:rsid w:val="00F8470A"/>
    <w:rsid w:val="00F84BF5"/>
    <w:rsid w:val="00F8656A"/>
    <w:rsid w:val="00F87164"/>
    <w:rsid w:val="00F919A9"/>
    <w:rsid w:val="00F95B0A"/>
    <w:rsid w:val="00F95FAB"/>
    <w:rsid w:val="00F961F4"/>
    <w:rsid w:val="00FA3AC1"/>
    <w:rsid w:val="00FA4372"/>
    <w:rsid w:val="00FA45F1"/>
    <w:rsid w:val="00FA5F1E"/>
    <w:rsid w:val="00FB1BA0"/>
    <w:rsid w:val="00FB1F40"/>
    <w:rsid w:val="00FB21EF"/>
    <w:rsid w:val="00FB2658"/>
    <w:rsid w:val="00FB7150"/>
    <w:rsid w:val="00FC21E1"/>
    <w:rsid w:val="00FC469F"/>
    <w:rsid w:val="00FC47A1"/>
    <w:rsid w:val="00FC4A40"/>
    <w:rsid w:val="00FC4A9D"/>
    <w:rsid w:val="00FC555E"/>
    <w:rsid w:val="00FC6FF5"/>
    <w:rsid w:val="00FD2248"/>
    <w:rsid w:val="00FD3395"/>
    <w:rsid w:val="00FD45EF"/>
    <w:rsid w:val="00FD48A2"/>
    <w:rsid w:val="00FD58AF"/>
    <w:rsid w:val="00FE0BAC"/>
    <w:rsid w:val="00FE0BCF"/>
    <w:rsid w:val="00FE335F"/>
    <w:rsid w:val="00FE7959"/>
    <w:rsid w:val="00FF0090"/>
    <w:rsid w:val="00FF1BFD"/>
    <w:rsid w:val="00FF4EEB"/>
    <w:rsid w:val="00FF5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2B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正文文本缩进 Char"/>
    <w:link w:val="a3"/>
    <w:locked/>
    <w:rsid w:val="003C42BD"/>
    <w:rPr>
      <w:rFonts w:ascii="宋体" w:eastAsia="宋体" w:hAnsi="宋体"/>
      <w:szCs w:val="24"/>
      <w:lang w:bidi="ar-SA"/>
    </w:rPr>
  </w:style>
  <w:style w:type="paragraph" w:styleId="a3">
    <w:name w:val="Body Text Indent"/>
    <w:basedOn w:val="a"/>
    <w:link w:val="Char"/>
    <w:rsid w:val="003C42BD"/>
    <w:pPr>
      <w:spacing w:after="120"/>
      <w:ind w:leftChars="200" w:left="420"/>
    </w:pPr>
    <w:rPr>
      <w:rFonts w:ascii="宋体" w:hAnsi="宋体"/>
      <w:kern w:val="0"/>
      <w:sz w:val="20"/>
      <w:lang/>
    </w:rPr>
  </w:style>
  <w:style w:type="paragraph" w:styleId="a4">
    <w:name w:val="Balloon Text"/>
    <w:basedOn w:val="a"/>
    <w:semiHidden/>
    <w:rsid w:val="003C42BD"/>
    <w:rPr>
      <w:sz w:val="18"/>
      <w:szCs w:val="18"/>
    </w:rPr>
  </w:style>
  <w:style w:type="paragraph" w:customStyle="1" w:styleId="Default">
    <w:name w:val="Default"/>
    <w:rsid w:val="003A7B8E"/>
    <w:pPr>
      <w:widowControl w:val="0"/>
      <w:autoSpaceDE w:val="0"/>
      <w:autoSpaceDN w:val="0"/>
      <w:adjustRightInd w:val="0"/>
    </w:pPr>
    <w:rPr>
      <w:rFonts w:ascii="楷体_GB2312" w:eastAsia="楷体_GB2312" w:cs="楷体_GB2312"/>
      <w:color w:val="000000"/>
      <w:sz w:val="24"/>
      <w:szCs w:val="24"/>
    </w:rPr>
  </w:style>
  <w:style w:type="paragraph" w:styleId="a5">
    <w:name w:val="header"/>
    <w:basedOn w:val="a"/>
    <w:link w:val="Char0"/>
    <w:rsid w:val="00FE7959"/>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5"/>
    <w:rsid w:val="00FE7959"/>
    <w:rPr>
      <w:kern w:val="2"/>
      <w:sz w:val="18"/>
      <w:szCs w:val="18"/>
    </w:rPr>
  </w:style>
  <w:style w:type="paragraph" w:styleId="a6">
    <w:name w:val="footer"/>
    <w:basedOn w:val="a"/>
    <w:link w:val="Char1"/>
    <w:rsid w:val="00FE7959"/>
    <w:pPr>
      <w:tabs>
        <w:tab w:val="center" w:pos="4153"/>
        <w:tab w:val="right" w:pos="8306"/>
      </w:tabs>
      <w:snapToGrid w:val="0"/>
      <w:jc w:val="left"/>
    </w:pPr>
    <w:rPr>
      <w:sz w:val="18"/>
      <w:szCs w:val="18"/>
      <w:lang/>
    </w:rPr>
  </w:style>
  <w:style w:type="character" w:customStyle="1" w:styleId="Char1">
    <w:name w:val="页脚 Char"/>
    <w:link w:val="a6"/>
    <w:rsid w:val="00FE7959"/>
    <w:rPr>
      <w:kern w:val="2"/>
      <w:sz w:val="18"/>
      <w:szCs w:val="18"/>
    </w:rPr>
  </w:style>
</w:styles>
</file>

<file path=word/webSettings.xml><?xml version="1.0" encoding="utf-8"?>
<w:webSettings xmlns:r="http://schemas.openxmlformats.org/officeDocument/2006/relationships" xmlns:w="http://schemas.openxmlformats.org/wordprocessingml/2006/main">
  <w:divs>
    <w:div w:id="5140243">
      <w:bodyDiv w:val="1"/>
      <w:marLeft w:val="0"/>
      <w:marRight w:val="0"/>
      <w:marTop w:val="0"/>
      <w:marBottom w:val="0"/>
      <w:divBdr>
        <w:top w:val="none" w:sz="0" w:space="0" w:color="auto"/>
        <w:left w:val="none" w:sz="0" w:space="0" w:color="auto"/>
        <w:bottom w:val="none" w:sz="0" w:space="0" w:color="auto"/>
        <w:right w:val="none" w:sz="0" w:space="0" w:color="auto"/>
      </w:divBdr>
    </w:div>
    <w:div w:id="29116354">
      <w:bodyDiv w:val="1"/>
      <w:marLeft w:val="0"/>
      <w:marRight w:val="0"/>
      <w:marTop w:val="0"/>
      <w:marBottom w:val="0"/>
      <w:divBdr>
        <w:top w:val="none" w:sz="0" w:space="0" w:color="auto"/>
        <w:left w:val="none" w:sz="0" w:space="0" w:color="auto"/>
        <w:bottom w:val="none" w:sz="0" w:space="0" w:color="auto"/>
        <w:right w:val="none" w:sz="0" w:space="0" w:color="auto"/>
      </w:divBdr>
    </w:div>
    <w:div w:id="46688006">
      <w:bodyDiv w:val="1"/>
      <w:marLeft w:val="0"/>
      <w:marRight w:val="0"/>
      <w:marTop w:val="0"/>
      <w:marBottom w:val="0"/>
      <w:divBdr>
        <w:top w:val="none" w:sz="0" w:space="0" w:color="auto"/>
        <w:left w:val="none" w:sz="0" w:space="0" w:color="auto"/>
        <w:bottom w:val="none" w:sz="0" w:space="0" w:color="auto"/>
        <w:right w:val="none" w:sz="0" w:space="0" w:color="auto"/>
      </w:divBdr>
    </w:div>
    <w:div w:id="47188127">
      <w:bodyDiv w:val="1"/>
      <w:marLeft w:val="0"/>
      <w:marRight w:val="0"/>
      <w:marTop w:val="0"/>
      <w:marBottom w:val="0"/>
      <w:divBdr>
        <w:top w:val="none" w:sz="0" w:space="0" w:color="auto"/>
        <w:left w:val="none" w:sz="0" w:space="0" w:color="auto"/>
        <w:bottom w:val="none" w:sz="0" w:space="0" w:color="auto"/>
        <w:right w:val="none" w:sz="0" w:space="0" w:color="auto"/>
      </w:divBdr>
    </w:div>
    <w:div w:id="83035300">
      <w:bodyDiv w:val="1"/>
      <w:marLeft w:val="0"/>
      <w:marRight w:val="0"/>
      <w:marTop w:val="0"/>
      <w:marBottom w:val="0"/>
      <w:divBdr>
        <w:top w:val="none" w:sz="0" w:space="0" w:color="auto"/>
        <w:left w:val="none" w:sz="0" w:space="0" w:color="auto"/>
        <w:bottom w:val="none" w:sz="0" w:space="0" w:color="auto"/>
        <w:right w:val="none" w:sz="0" w:space="0" w:color="auto"/>
      </w:divBdr>
    </w:div>
    <w:div w:id="92097817">
      <w:bodyDiv w:val="1"/>
      <w:marLeft w:val="0"/>
      <w:marRight w:val="0"/>
      <w:marTop w:val="0"/>
      <w:marBottom w:val="0"/>
      <w:divBdr>
        <w:top w:val="none" w:sz="0" w:space="0" w:color="auto"/>
        <w:left w:val="none" w:sz="0" w:space="0" w:color="auto"/>
        <w:bottom w:val="none" w:sz="0" w:space="0" w:color="auto"/>
        <w:right w:val="none" w:sz="0" w:space="0" w:color="auto"/>
      </w:divBdr>
    </w:div>
    <w:div w:id="99031097">
      <w:bodyDiv w:val="1"/>
      <w:marLeft w:val="0"/>
      <w:marRight w:val="0"/>
      <w:marTop w:val="0"/>
      <w:marBottom w:val="0"/>
      <w:divBdr>
        <w:top w:val="none" w:sz="0" w:space="0" w:color="auto"/>
        <w:left w:val="none" w:sz="0" w:space="0" w:color="auto"/>
        <w:bottom w:val="none" w:sz="0" w:space="0" w:color="auto"/>
        <w:right w:val="none" w:sz="0" w:space="0" w:color="auto"/>
      </w:divBdr>
    </w:div>
    <w:div w:id="114831580">
      <w:bodyDiv w:val="1"/>
      <w:marLeft w:val="0"/>
      <w:marRight w:val="0"/>
      <w:marTop w:val="0"/>
      <w:marBottom w:val="0"/>
      <w:divBdr>
        <w:top w:val="none" w:sz="0" w:space="0" w:color="auto"/>
        <w:left w:val="none" w:sz="0" w:space="0" w:color="auto"/>
        <w:bottom w:val="none" w:sz="0" w:space="0" w:color="auto"/>
        <w:right w:val="none" w:sz="0" w:space="0" w:color="auto"/>
      </w:divBdr>
    </w:div>
    <w:div w:id="115682517">
      <w:bodyDiv w:val="1"/>
      <w:marLeft w:val="0"/>
      <w:marRight w:val="0"/>
      <w:marTop w:val="0"/>
      <w:marBottom w:val="0"/>
      <w:divBdr>
        <w:top w:val="none" w:sz="0" w:space="0" w:color="auto"/>
        <w:left w:val="none" w:sz="0" w:space="0" w:color="auto"/>
        <w:bottom w:val="none" w:sz="0" w:space="0" w:color="auto"/>
        <w:right w:val="none" w:sz="0" w:space="0" w:color="auto"/>
      </w:divBdr>
    </w:div>
    <w:div w:id="160971261">
      <w:bodyDiv w:val="1"/>
      <w:marLeft w:val="0"/>
      <w:marRight w:val="0"/>
      <w:marTop w:val="0"/>
      <w:marBottom w:val="0"/>
      <w:divBdr>
        <w:top w:val="none" w:sz="0" w:space="0" w:color="auto"/>
        <w:left w:val="none" w:sz="0" w:space="0" w:color="auto"/>
        <w:bottom w:val="none" w:sz="0" w:space="0" w:color="auto"/>
        <w:right w:val="none" w:sz="0" w:space="0" w:color="auto"/>
      </w:divBdr>
    </w:div>
    <w:div w:id="178546597">
      <w:bodyDiv w:val="1"/>
      <w:marLeft w:val="0"/>
      <w:marRight w:val="0"/>
      <w:marTop w:val="0"/>
      <w:marBottom w:val="0"/>
      <w:divBdr>
        <w:top w:val="none" w:sz="0" w:space="0" w:color="auto"/>
        <w:left w:val="none" w:sz="0" w:space="0" w:color="auto"/>
        <w:bottom w:val="none" w:sz="0" w:space="0" w:color="auto"/>
        <w:right w:val="none" w:sz="0" w:space="0" w:color="auto"/>
      </w:divBdr>
    </w:div>
    <w:div w:id="184948437">
      <w:bodyDiv w:val="1"/>
      <w:marLeft w:val="0"/>
      <w:marRight w:val="0"/>
      <w:marTop w:val="0"/>
      <w:marBottom w:val="0"/>
      <w:divBdr>
        <w:top w:val="none" w:sz="0" w:space="0" w:color="auto"/>
        <w:left w:val="none" w:sz="0" w:space="0" w:color="auto"/>
        <w:bottom w:val="none" w:sz="0" w:space="0" w:color="auto"/>
        <w:right w:val="none" w:sz="0" w:space="0" w:color="auto"/>
      </w:divBdr>
    </w:div>
    <w:div w:id="227350549">
      <w:bodyDiv w:val="1"/>
      <w:marLeft w:val="0"/>
      <w:marRight w:val="0"/>
      <w:marTop w:val="0"/>
      <w:marBottom w:val="0"/>
      <w:divBdr>
        <w:top w:val="none" w:sz="0" w:space="0" w:color="auto"/>
        <w:left w:val="none" w:sz="0" w:space="0" w:color="auto"/>
        <w:bottom w:val="none" w:sz="0" w:space="0" w:color="auto"/>
        <w:right w:val="none" w:sz="0" w:space="0" w:color="auto"/>
      </w:divBdr>
    </w:div>
    <w:div w:id="231820930">
      <w:bodyDiv w:val="1"/>
      <w:marLeft w:val="0"/>
      <w:marRight w:val="0"/>
      <w:marTop w:val="0"/>
      <w:marBottom w:val="0"/>
      <w:divBdr>
        <w:top w:val="none" w:sz="0" w:space="0" w:color="auto"/>
        <w:left w:val="none" w:sz="0" w:space="0" w:color="auto"/>
        <w:bottom w:val="none" w:sz="0" w:space="0" w:color="auto"/>
        <w:right w:val="none" w:sz="0" w:space="0" w:color="auto"/>
      </w:divBdr>
    </w:div>
    <w:div w:id="232471397">
      <w:bodyDiv w:val="1"/>
      <w:marLeft w:val="0"/>
      <w:marRight w:val="0"/>
      <w:marTop w:val="0"/>
      <w:marBottom w:val="0"/>
      <w:divBdr>
        <w:top w:val="none" w:sz="0" w:space="0" w:color="auto"/>
        <w:left w:val="none" w:sz="0" w:space="0" w:color="auto"/>
        <w:bottom w:val="none" w:sz="0" w:space="0" w:color="auto"/>
        <w:right w:val="none" w:sz="0" w:space="0" w:color="auto"/>
      </w:divBdr>
    </w:div>
    <w:div w:id="270943646">
      <w:bodyDiv w:val="1"/>
      <w:marLeft w:val="0"/>
      <w:marRight w:val="0"/>
      <w:marTop w:val="0"/>
      <w:marBottom w:val="0"/>
      <w:divBdr>
        <w:top w:val="none" w:sz="0" w:space="0" w:color="auto"/>
        <w:left w:val="none" w:sz="0" w:space="0" w:color="auto"/>
        <w:bottom w:val="none" w:sz="0" w:space="0" w:color="auto"/>
        <w:right w:val="none" w:sz="0" w:space="0" w:color="auto"/>
      </w:divBdr>
    </w:div>
    <w:div w:id="285965698">
      <w:bodyDiv w:val="1"/>
      <w:marLeft w:val="0"/>
      <w:marRight w:val="0"/>
      <w:marTop w:val="0"/>
      <w:marBottom w:val="0"/>
      <w:divBdr>
        <w:top w:val="none" w:sz="0" w:space="0" w:color="auto"/>
        <w:left w:val="none" w:sz="0" w:space="0" w:color="auto"/>
        <w:bottom w:val="none" w:sz="0" w:space="0" w:color="auto"/>
        <w:right w:val="none" w:sz="0" w:space="0" w:color="auto"/>
      </w:divBdr>
    </w:div>
    <w:div w:id="337122900">
      <w:bodyDiv w:val="1"/>
      <w:marLeft w:val="0"/>
      <w:marRight w:val="0"/>
      <w:marTop w:val="0"/>
      <w:marBottom w:val="0"/>
      <w:divBdr>
        <w:top w:val="none" w:sz="0" w:space="0" w:color="auto"/>
        <w:left w:val="none" w:sz="0" w:space="0" w:color="auto"/>
        <w:bottom w:val="none" w:sz="0" w:space="0" w:color="auto"/>
        <w:right w:val="none" w:sz="0" w:space="0" w:color="auto"/>
      </w:divBdr>
    </w:div>
    <w:div w:id="352457856">
      <w:bodyDiv w:val="1"/>
      <w:marLeft w:val="0"/>
      <w:marRight w:val="0"/>
      <w:marTop w:val="0"/>
      <w:marBottom w:val="0"/>
      <w:divBdr>
        <w:top w:val="none" w:sz="0" w:space="0" w:color="auto"/>
        <w:left w:val="none" w:sz="0" w:space="0" w:color="auto"/>
        <w:bottom w:val="none" w:sz="0" w:space="0" w:color="auto"/>
        <w:right w:val="none" w:sz="0" w:space="0" w:color="auto"/>
      </w:divBdr>
    </w:div>
    <w:div w:id="358432193">
      <w:bodyDiv w:val="1"/>
      <w:marLeft w:val="0"/>
      <w:marRight w:val="0"/>
      <w:marTop w:val="0"/>
      <w:marBottom w:val="0"/>
      <w:divBdr>
        <w:top w:val="none" w:sz="0" w:space="0" w:color="auto"/>
        <w:left w:val="none" w:sz="0" w:space="0" w:color="auto"/>
        <w:bottom w:val="none" w:sz="0" w:space="0" w:color="auto"/>
        <w:right w:val="none" w:sz="0" w:space="0" w:color="auto"/>
      </w:divBdr>
    </w:div>
    <w:div w:id="360251971">
      <w:bodyDiv w:val="1"/>
      <w:marLeft w:val="0"/>
      <w:marRight w:val="0"/>
      <w:marTop w:val="0"/>
      <w:marBottom w:val="0"/>
      <w:divBdr>
        <w:top w:val="none" w:sz="0" w:space="0" w:color="auto"/>
        <w:left w:val="none" w:sz="0" w:space="0" w:color="auto"/>
        <w:bottom w:val="none" w:sz="0" w:space="0" w:color="auto"/>
        <w:right w:val="none" w:sz="0" w:space="0" w:color="auto"/>
      </w:divBdr>
    </w:div>
    <w:div w:id="376202880">
      <w:bodyDiv w:val="1"/>
      <w:marLeft w:val="0"/>
      <w:marRight w:val="0"/>
      <w:marTop w:val="0"/>
      <w:marBottom w:val="0"/>
      <w:divBdr>
        <w:top w:val="none" w:sz="0" w:space="0" w:color="auto"/>
        <w:left w:val="none" w:sz="0" w:space="0" w:color="auto"/>
        <w:bottom w:val="none" w:sz="0" w:space="0" w:color="auto"/>
        <w:right w:val="none" w:sz="0" w:space="0" w:color="auto"/>
      </w:divBdr>
    </w:div>
    <w:div w:id="404649285">
      <w:bodyDiv w:val="1"/>
      <w:marLeft w:val="0"/>
      <w:marRight w:val="0"/>
      <w:marTop w:val="0"/>
      <w:marBottom w:val="0"/>
      <w:divBdr>
        <w:top w:val="none" w:sz="0" w:space="0" w:color="auto"/>
        <w:left w:val="none" w:sz="0" w:space="0" w:color="auto"/>
        <w:bottom w:val="none" w:sz="0" w:space="0" w:color="auto"/>
        <w:right w:val="none" w:sz="0" w:space="0" w:color="auto"/>
      </w:divBdr>
    </w:div>
    <w:div w:id="408892164">
      <w:bodyDiv w:val="1"/>
      <w:marLeft w:val="0"/>
      <w:marRight w:val="0"/>
      <w:marTop w:val="0"/>
      <w:marBottom w:val="0"/>
      <w:divBdr>
        <w:top w:val="none" w:sz="0" w:space="0" w:color="auto"/>
        <w:left w:val="none" w:sz="0" w:space="0" w:color="auto"/>
        <w:bottom w:val="none" w:sz="0" w:space="0" w:color="auto"/>
        <w:right w:val="none" w:sz="0" w:space="0" w:color="auto"/>
      </w:divBdr>
    </w:div>
    <w:div w:id="414858313">
      <w:bodyDiv w:val="1"/>
      <w:marLeft w:val="0"/>
      <w:marRight w:val="0"/>
      <w:marTop w:val="0"/>
      <w:marBottom w:val="0"/>
      <w:divBdr>
        <w:top w:val="none" w:sz="0" w:space="0" w:color="auto"/>
        <w:left w:val="none" w:sz="0" w:space="0" w:color="auto"/>
        <w:bottom w:val="none" w:sz="0" w:space="0" w:color="auto"/>
        <w:right w:val="none" w:sz="0" w:space="0" w:color="auto"/>
      </w:divBdr>
    </w:div>
    <w:div w:id="426731661">
      <w:bodyDiv w:val="1"/>
      <w:marLeft w:val="0"/>
      <w:marRight w:val="0"/>
      <w:marTop w:val="0"/>
      <w:marBottom w:val="0"/>
      <w:divBdr>
        <w:top w:val="none" w:sz="0" w:space="0" w:color="auto"/>
        <w:left w:val="none" w:sz="0" w:space="0" w:color="auto"/>
        <w:bottom w:val="none" w:sz="0" w:space="0" w:color="auto"/>
        <w:right w:val="none" w:sz="0" w:space="0" w:color="auto"/>
      </w:divBdr>
    </w:div>
    <w:div w:id="445127817">
      <w:bodyDiv w:val="1"/>
      <w:marLeft w:val="0"/>
      <w:marRight w:val="0"/>
      <w:marTop w:val="0"/>
      <w:marBottom w:val="0"/>
      <w:divBdr>
        <w:top w:val="none" w:sz="0" w:space="0" w:color="auto"/>
        <w:left w:val="none" w:sz="0" w:space="0" w:color="auto"/>
        <w:bottom w:val="none" w:sz="0" w:space="0" w:color="auto"/>
        <w:right w:val="none" w:sz="0" w:space="0" w:color="auto"/>
      </w:divBdr>
    </w:div>
    <w:div w:id="464274730">
      <w:bodyDiv w:val="1"/>
      <w:marLeft w:val="0"/>
      <w:marRight w:val="0"/>
      <w:marTop w:val="0"/>
      <w:marBottom w:val="0"/>
      <w:divBdr>
        <w:top w:val="none" w:sz="0" w:space="0" w:color="auto"/>
        <w:left w:val="none" w:sz="0" w:space="0" w:color="auto"/>
        <w:bottom w:val="none" w:sz="0" w:space="0" w:color="auto"/>
        <w:right w:val="none" w:sz="0" w:space="0" w:color="auto"/>
      </w:divBdr>
    </w:div>
    <w:div w:id="466122894">
      <w:bodyDiv w:val="1"/>
      <w:marLeft w:val="0"/>
      <w:marRight w:val="0"/>
      <w:marTop w:val="0"/>
      <w:marBottom w:val="0"/>
      <w:divBdr>
        <w:top w:val="none" w:sz="0" w:space="0" w:color="auto"/>
        <w:left w:val="none" w:sz="0" w:space="0" w:color="auto"/>
        <w:bottom w:val="none" w:sz="0" w:space="0" w:color="auto"/>
        <w:right w:val="none" w:sz="0" w:space="0" w:color="auto"/>
      </w:divBdr>
    </w:div>
    <w:div w:id="488524508">
      <w:bodyDiv w:val="1"/>
      <w:marLeft w:val="0"/>
      <w:marRight w:val="0"/>
      <w:marTop w:val="0"/>
      <w:marBottom w:val="0"/>
      <w:divBdr>
        <w:top w:val="none" w:sz="0" w:space="0" w:color="auto"/>
        <w:left w:val="none" w:sz="0" w:space="0" w:color="auto"/>
        <w:bottom w:val="none" w:sz="0" w:space="0" w:color="auto"/>
        <w:right w:val="none" w:sz="0" w:space="0" w:color="auto"/>
      </w:divBdr>
    </w:div>
    <w:div w:id="494689592">
      <w:bodyDiv w:val="1"/>
      <w:marLeft w:val="0"/>
      <w:marRight w:val="0"/>
      <w:marTop w:val="0"/>
      <w:marBottom w:val="0"/>
      <w:divBdr>
        <w:top w:val="none" w:sz="0" w:space="0" w:color="auto"/>
        <w:left w:val="none" w:sz="0" w:space="0" w:color="auto"/>
        <w:bottom w:val="none" w:sz="0" w:space="0" w:color="auto"/>
        <w:right w:val="none" w:sz="0" w:space="0" w:color="auto"/>
      </w:divBdr>
    </w:div>
    <w:div w:id="495850865">
      <w:bodyDiv w:val="1"/>
      <w:marLeft w:val="0"/>
      <w:marRight w:val="0"/>
      <w:marTop w:val="0"/>
      <w:marBottom w:val="0"/>
      <w:divBdr>
        <w:top w:val="none" w:sz="0" w:space="0" w:color="auto"/>
        <w:left w:val="none" w:sz="0" w:space="0" w:color="auto"/>
        <w:bottom w:val="none" w:sz="0" w:space="0" w:color="auto"/>
        <w:right w:val="none" w:sz="0" w:space="0" w:color="auto"/>
      </w:divBdr>
    </w:div>
    <w:div w:id="500777834">
      <w:bodyDiv w:val="1"/>
      <w:marLeft w:val="0"/>
      <w:marRight w:val="0"/>
      <w:marTop w:val="0"/>
      <w:marBottom w:val="0"/>
      <w:divBdr>
        <w:top w:val="none" w:sz="0" w:space="0" w:color="auto"/>
        <w:left w:val="none" w:sz="0" w:space="0" w:color="auto"/>
        <w:bottom w:val="none" w:sz="0" w:space="0" w:color="auto"/>
        <w:right w:val="none" w:sz="0" w:space="0" w:color="auto"/>
      </w:divBdr>
    </w:div>
    <w:div w:id="509834687">
      <w:bodyDiv w:val="1"/>
      <w:marLeft w:val="0"/>
      <w:marRight w:val="0"/>
      <w:marTop w:val="0"/>
      <w:marBottom w:val="0"/>
      <w:divBdr>
        <w:top w:val="none" w:sz="0" w:space="0" w:color="auto"/>
        <w:left w:val="none" w:sz="0" w:space="0" w:color="auto"/>
        <w:bottom w:val="none" w:sz="0" w:space="0" w:color="auto"/>
        <w:right w:val="none" w:sz="0" w:space="0" w:color="auto"/>
      </w:divBdr>
    </w:div>
    <w:div w:id="515659652">
      <w:bodyDiv w:val="1"/>
      <w:marLeft w:val="0"/>
      <w:marRight w:val="0"/>
      <w:marTop w:val="0"/>
      <w:marBottom w:val="0"/>
      <w:divBdr>
        <w:top w:val="none" w:sz="0" w:space="0" w:color="auto"/>
        <w:left w:val="none" w:sz="0" w:space="0" w:color="auto"/>
        <w:bottom w:val="none" w:sz="0" w:space="0" w:color="auto"/>
        <w:right w:val="none" w:sz="0" w:space="0" w:color="auto"/>
      </w:divBdr>
    </w:div>
    <w:div w:id="518013278">
      <w:bodyDiv w:val="1"/>
      <w:marLeft w:val="0"/>
      <w:marRight w:val="0"/>
      <w:marTop w:val="0"/>
      <w:marBottom w:val="0"/>
      <w:divBdr>
        <w:top w:val="none" w:sz="0" w:space="0" w:color="auto"/>
        <w:left w:val="none" w:sz="0" w:space="0" w:color="auto"/>
        <w:bottom w:val="none" w:sz="0" w:space="0" w:color="auto"/>
        <w:right w:val="none" w:sz="0" w:space="0" w:color="auto"/>
      </w:divBdr>
    </w:div>
    <w:div w:id="527567261">
      <w:bodyDiv w:val="1"/>
      <w:marLeft w:val="0"/>
      <w:marRight w:val="0"/>
      <w:marTop w:val="0"/>
      <w:marBottom w:val="0"/>
      <w:divBdr>
        <w:top w:val="none" w:sz="0" w:space="0" w:color="auto"/>
        <w:left w:val="none" w:sz="0" w:space="0" w:color="auto"/>
        <w:bottom w:val="none" w:sz="0" w:space="0" w:color="auto"/>
        <w:right w:val="none" w:sz="0" w:space="0" w:color="auto"/>
      </w:divBdr>
    </w:div>
    <w:div w:id="550380529">
      <w:bodyDiv w:val="1"/>
      <w:marLeft w:val="0"/>
      <w:marRight w:val="0"/>
      <w:marTop w:val="0"/>
      <w:marBottom w:val="0"/>
      <w:divBdr>
        <w:top w:val="none" w:sz="0" w:space="0" w:color="auto"/>
        <w:left w:val="none" w:sz="0" w:space="0" w:color="auto"/>
        <w:bottom w:val="none" w:sz="0" w:space="0" w:color="auto"/>
        <w:right w:val="none" w:sz="0" w:space="0" w:color="auto"/>
      </w:divBdr>
    </w:div>
    <w:div w:id="563027208">
      <w:bodyDiv w:val="1"/>
      <w:marLeft w:val="0"/>
      <w:marRight w:val="0"/>
      <w:marTop w:val="0"/>
      <w:marBottom w:val="0"/>
      <w:divBdr>
        <w:top w:val="none" w:sz="0" w:space="0" w:color="auto"/>
        <w:left w:val="none" w:sz="0" w:space="0" w:color="auto"/>
        <w:bottom w:val="none" w:sz="0" w:space="0" w:color="auto"/>
        <w:right w:val="none" w:sz="0" w:space="0" w:color="auto"/>
      </w:divBdr>
    </w:div>
    <w:div w:id="565190415">
      <w:bodyDiv w:val="1"/>
      <w:marLeft w:val="0"/>
      <w:marRight w:val="0"/>
      <w:marTop w:val="0"/>
      <w:marBottom w:val="0"/>
      <w:divBdr>
        <w:top w:val="none" w:sz="0" w:space="0" w:color="auto"/>
        <w:left w:val="none" w:sz="0" w:space="0" w:color="auto"/>
        <w:bottom w:val="none" w:sz="0" w:space="0" w:color="auto"/>
        <w:right w:val="none" w:sz="0" w:space="0" w:color="auto"/>
      </w:divBdr>
    </w:div>
    <w:div w:id="577180546">
      <w:bodyDiv w:val="1"/>
      <w:marLeft w:val="0"/>
      <w:marRight w:val="0"/>
      <w:marTop w:val="0"/>
      <w:marBottom w:val="0"/>
      <w:divBdr>
        <w:top w:val="none" w:sz="0" w:space="0" w:color="auto"/>
        <w:left w:val="none" w:sz="0" w:space="0" w:color="auto"/>
        <w:bottom w:val="none" w:sz="0" w:space="0" w:color="auto"/>
        <w:right w:val="none" w:sz="0" w:space="0" w:color="auto"/>
      </w:divBdr>
    </w:div>
    <w:div w:id="584726833">
      <w:bodyDiv w:val="1"/>
      <w:marLeft w:val="0"/>
      <w:marRight w:val="0"/>
      <w:marTop w:val="0"/>
      <w:marBottom w:val="0"/>
      <w:divBdr>
        <w:top w:val="none" w:sz="0" w:space="0" w:color="auto"/>
        <w:left w:val="none" w:sz="0" w:space="0" w:color="auto"/>
        <w:bottom w:val="none" w:sz="0" w:space="0" w:color="auto"/>
        <w:right w:val="none" w:sz="0" w:space="0" w:color="auto"/>
      </w:divBdr>
    </w:div>
    <w:div w:id="593055819">
      <w:bodyDiv w:val="1"/>
      <w:marLeft w:val="0"/>
      <w:marRight w:val="0"/>
      <w:marTop w:val="0"/>
      <w:marBottom w:val="0"/>
      <w:divBdr>
        <w:top w:val="none" w:sz="0" w:space="0" w:color="auto"/>
        <w:left w:val="none" w:sz="0" w:space="0" w:color="auto"/>
        <w:bottom w:val="none" w:sz="0" w:space="0" w:color="auto"/>
        <w:right w:val="none" w:sz="0" w:space="0" w:color="auto"/>
      </w:divBdr>
    </w:div>
    <w:div w:id="596909549">
      <w:bodyDiv w:val="1"/>
      <w:marLeft w:val="0"/>
      <w:marRight w:val="0"/>
      <w:marTop w:val="0"/>
      <w:marBottom w:val="0"/>
      <w:divBdr>
        <w:top w:val="none" w:sz="0" w:space="0" w:color="auto"/>
        <w:left w:val="none" w:sz="0" w:space="0" w:color="auto"/>
        <w:bottom w:val="none" w:sz="0" w:space="0" w:color="auto"/>
        <w:right w:val="none" w:sz="0" w:space="0" w:color="auto"/>
      </w:divBdr>
    </w:div>
    <w:div w:id="621766987">
      <w:bodyDiv w:val="1"/>
      <w:marLeft w:val="0"/>
      <w:marRight w:val="0"/>
      <w:marTop w:val="0"/>
      <w:marBottom w:val="0"/>
      <w:divBdr>
        <w:top w:val="none" w:sz="0" w:space="0" w:color="auto"/>
        <w:left w:val="none" w:sz="0" w:space="0" w:color="auto"/>
        <w:bottom w:val="none" w:sz="0" w:space="0" w:color="auto"/>
        <w:right w:val="none" w:sz="0" w:space="0" w:color="auto"/>
      </w:divBdr>
    </w:div>
    <w:div w:id="637298781">
      <w:bodyDiv w:val="1"/>
      <w:marLeft w:val="0"/>
      <w:marRight w:val="0"/>
      <w:marTop w:val="0"/>
      <w:marBottom w:val="0"/>
      <w:divBdr>
        <w:top w:val="none" w:sz="0" w:space="0" w:color="auto"/>
        <w:left w:val="none" w:sz="0" w:space="0" w:color="auto"/>
        <w:bottom w:val="none" w:sz="0" w:space="0" w:color="auto"/>
        <w:right w:val="none" w:sz="0" w:space="0" w:color="auto"/>
      </w:divBdr>
    </w:div>
    <w:div w:id="663321474">
      <w:bodyDiv w:val="1"/>
      <w:marLeft w:val="0"/>
      <w:marRight w:val="0"/>
      <w:marTop w:val="0"/>
      <w:marBottom w:val="0"/>
      <w:divBdr>
        <w:top w:val="none" w:sz="0" w:space="0" w:color="auto"/>
        <w:left w:val="none" w:sz="0" w:space="0" w:color="auto"/>
        <w:bottom w:val="none" w:sz="0" w:space="0" w:color="auto"/>
        <w:right w:val="none" w:sz="0" w:space="0" w:color="auto"/>
      </w:divBdr>
    </w:div>
    <w:div w:id="672152196">
      <w:bodyDiv w:val="1"/>
      <w:marLeft w:val="0"/>
      <w:marRight w:val="0"/>
      <w:marTop w:val="0"/>
      <w:marBottom w:val="0"/>
      <w:divBdr>
        <w:top w:val="none" w:sz="0" w:space="0" w:color="auto"/>
        <w:left w:val="none" w:sz="0" w:space="0" w:color="auto"/>
        <w:bottom w:val="none" w:sz="0" w:space="0" w:color="auto"/>
        <w:right w:val="none" w:sz="0" w:space="0" w:color="auto"/>
      </w:divBdr>
    </w:div>
    <w:div w:id="678239779">
      <w:bodyDiv w:val="1"/>
      <w:marLeft w:val="0"/>
      <w:marRight w:val="0"/>
      <w:marTop w:val="0"/>
      <w:marBottom w:val="0"/>
      <w:divBdr>
        <w:top w:val="none" w:sz="0" w:space="0" w:color="auto"/>
        <w:left w:val="none" w:sz="0" w:space="0" w:color="auto"/>
        <w:bottom w:val="none" w:sz="0" w:space="0" w:color="auto"/>
        <w:right w:val="none" w:sz="0" w:space="0" w:color="auto"/>
      </w:divBdr>
    </w:div>
    <w:div w:id="704910179">
      <w:bodyDiv w:val="1"/>
      <w:marLeft w:val="0"/>
      <w:marRight w:val="0"/>
      <w:marTop w:val="0"/>
      <w:marBottom w:val="0"/>
      <w:divBdr>
        <w:top w:val="none" w:sz="0" w:space="0" w:color="auto"/>
        <w:left w:val="none" w:sz="0" w:space="0" w:color="auto"/>
        <w:bottom w:val="none" w:sz="0" w:space="0" w:color="auto"/>
        <w:right w:val="none" w:sz="0" w:space="0" w:color="auto"/>
      </w:divBdr>
    </w:div>
    <w:div w:id="707141068">
      <w:bodyDiv w:val="1"/>
      <w:marLeft w:val="0"/>
      <w:marRight w:val="0"/>
      <w:marTop w:val="0"/>
      <w:marBottom w:val="0"/>
      <w:divBdr>
        <w:top w:val="none" w:sz="0" w:space="0" w:color="auto"/>
        <w:left w:val="none" w:sz="0" w:space="0" w:color="auto"/>
        <w:bottom w:val="none" w:sz="0" w:space="0" w:color="auto"/>
        <w:right w:val="none" w:sz="0" w:space="0" w:color="auto"/>
      </w:divBdr>
    </w:div>
    <w:div w:id="711077977">
      <w:bodyDiv w:val="1"/>
      <w:marLeft w:val="0"/>
      <w:marRight w:val="0"/>
      <w:marTop w:val="0"/>
      <w:marBottom w:val="0"/>
      <w:divBdr>
        <w:top w:val="none" w:sz="0" w:space="0" w:color="auto"/>
        <w:left w:val="none" w:sz="0" w:space="0" w:color="auto"/>
        <w:bottom w:val="none" w:sz="0" w:space="0" w:color="auto"/>
        <w:right w:val="none" w:sz="0" w:space="0" w:color="auto"/>
      </w:divBdr>
    </w:div>
    <w:div w:id="718282971">
      <w:bodyDiv w:val="1"/>
      <w:marLeft w:val="0"/>
      <w:marRight w:val="0"/>
      <w:marTop w:val="0"/>
      <w:marBottom w:val="0"/>
      <w:divBdr>
        <w:top w:val="none" w:sz="0" w:space="0" w:color="auto"/>
        <w:left w:val="none" w:sz="0" w:space="0" w:color="auto"/>
        <w:bottom w:val="none" w:sz="0" w:space="0" w:color="auto"/>
        <w:right w:val="none" w:sz="0" w:space="0" w:color="auto"/>
      </w:divBdr>
    </w:div>
    <w:div w:id="722410470">
      <w:bodyDiv w:val="1"/>
      <w:marLeft w:val="0"/>
      <w:marRight w:val="0"/>
      <w:marTop w:val="0"/>
      <w:marBottom w:val="0"/>
      <w:divBdr>
        <w:top w:val="none" w:sz="0" w:space="0" w:color="auto"/>
        <w:left w:val="none" w:sz="0" w:space="0" w:color="auto"/>
        <w:bottom w:val="none" w:sz="0" w:space="0" w:color="auto"/>
        <w:right w:val="none" w:sz="0" w:space="0" w:color="auto"/>
      </w:divBdr>
    </w:div>
    <w:div w:id="723867482">
      <w:bodyDiv w:val="1"/>
      <w:marLeft w:val="0"/>
      <w:marRight w:val="0"/>
      <w:marTop w:val="0"/>
      <w:marBottom w:val="0"/>
      <w:divBdr>
        <w:top w:val="none" w:sz="0" w:space="0" w:color="auto"/>
        <w:left w:val="none" w:sz="0" w:space="0" w:color="auto"/>
        <w:bottom w:val="none" w:sz="0" w:space="0" w:color="auto"/>
        <w:right w:val="none" w:sz="0" w:space="0" w:color="auto"/>
      </w:divBdr>
    </w:div>
    <w:div w:id="733234046">
      <w:bodyDiv w:val="1"/>
      <w:marLeft w:val="0"/>
      <w:marRight w:val="0"/>
      <w:marTop w:val="0"/>
      <w:marBottom w:val="0"/>
      <w:divBdr>
        <w:top w:val="none" w:sz="0" w:space="0" w:color="auto"/>
        <w:left w:val="none" w:sz="0" w:space="0" w:color="auto"/>
        <w:bottom w:val="none" w:sz="0" w:space="0" w:color="auto"/>
        <w:right w:val="none" w:sz="0" w:space="0" w:color="auto"/>
      </w:divBdr>
    </w:div>
    <w:div w:id="733352254">
      <w:bodyDiv w:val="1"/>
      <w:marLeft w:val="0"/>
      <w:marRight w:val="0"/>
      <w:marTop w:val="0"/>
      <w:marBottom w:val="0"/>
      <w:divBdr>
        <w:top w:val="none" w:sz="0" w:space="0" w:color="auto"/>
        <w:left w:val="none" w:sz="0" w:space="0" w:color="auto"/>
        <w:bottom w:val="none" w:sz="0" w:space="0" w:color="auto"/>
        <w:right w:val="none" w:sz="0" w:space="0" w:color="auto"/>
      </w:divBdr>
    </w:div>
    <w:div w:id="739140249">
      <w:bodyDiv w:val="1"/>
      <w:marLeft w:val="0"/>
      <w:marRight w:val="0"/>
      <w:marTop w:val="0"/>
      <w:marBottom w:val="0"/>
      <w:divBdr>
        <w:top w:val="none" w:sz="0" w:space="0" w:color="auto"/>
        <w:left w:val="none" w:sz="0" w:space="0" w:color="auto"/>
        <w:bottom w:val="none" w:sz="0" w:space="0" w:color="auto"/>
        <w:right w:val="none" w:sz="0" w:space="0" w:color="auto"/>
      </w:divBdr>
    </w:div>
    <w:div w:id="744423473">
      <w:bodyDiv w:val="1"/>
      <w:marLeft w:val="0"/>
      <w:marRight w:val="0"/>
      <w:marTop w:val="0"/>
      <w:marBottom w:val="0"/>
      <w:divBdr>
        <w:top w:val="none" w:sz="0" w:space="0" w:color="auto"/>
        <w:left w:val="none" w:sz="0" w:space="0" w:color="auto"/>
        <w:bottom w:val="none" w:sz="0" w:space="0" w:color="auto"/>
        <w:right w:val="none" w:sz="0" w:space="0" w:color="auto"/>
      </w:divBdr>
    </w:div>
    <w:div w:id="753628224">
      <w:bodyDiv w:val="1"/>
      <w:marLeft w:val="0"/>
      <w:marRight w:val="0"/>
      <w:marTop w:val="0"/>
      <w:marBottom w:val="0"/>
      <w:divBdr>
        <w:top w:val="none" w:sz="0" w:space="0" w:color="auto"/>
        <w:left w:val="none" w:sz="0" w:space="0" w:color="auto"/>
        <w:bottom w:val="none" w:sz="0" w:space="0" w:color="auto"/>
        <w:right w:val="none" w:sz="0" w:space="0" w:color="auto"/>
      </w:divBdr>
    </w:div>
    <w:div w:id="756560038">
      <w:bodyDiv w:val="1"/>
      <w:marLeft w:val="0"/>
      <w:marRight w:val="0"/>
      <w:marTop w:val="0"/>
      <w:marBottom w:val="0"/>
      <w:divBdr>
        <w:top w:val="none" w:sz="0" w:space="0" w:color="auto"/>
        <w:left w:val="none" w:sz="0" w:space="0" w:color="auto"/>
        <w:bottom w:val="none" w:sz="0" w:space="0" w:color="auto"/>
        <w:right w:val="none" w:sz="0" w:space="0" w:color="auto"/>
      </w:divBdr>
    </w:div>
    <w:div w:id="794756506">
      <w:bodyDiv w:val="1"/>
      <w:marLeft w:val="0"/>
      <w:marRight w:val="0"/>
      <w:marTop w:val="0"/>
      <w:marBottom w:val="0"/>
      <w:divBdr>
        <w:top w:val="none" w:sz="0" w:space="0" w:color="auto"/>
        <w:left w:val="none" w:sz="0" w:space="0" w:color="auto"/>
        <w:bottom w:val="none" w:sz="0" w:space="0" w:color="auto"/>
        <w:right w:val="none" w:sz="0" w:space="0" w:color="auto"/>
      </w:divBdr>
    </w:div>
    <w:div w:id="795682890">
      <w:bodyDiv w:val="1"/>
      <w:marLeft w:val="0"/>
      <w:marRight w:val="0"/>
      <w:marTop w:val="0"/>
      <w:marBottom w:val="0"/>
      <w:divBdr>
        <w:top w:val="none" w:sz="0" w:space="0" w:color="auto"/>
        <w:left w:val="none" w:sz="0" w:space="0" w:color="auto"/>
        <w:bottom w:val="none" w:sz="0" w:space="0" w:color="auto"/>
        <w:right w:val="none" w:sz="0" w:space="0" w:color="auto"/>
      </w:divBdr>
    </w:div>
    <w:div w:id="804355792">
      <w:bodyDiv w:val="1"/>
      <w:marLeft w:val="0"/>
      <w:marRight w:val="0"/>
      <w:marTop w:val="0"/>
      <w:marBottom w:val="0"/>
      <w:divBdr>
        <w:top w:val="none" w:sz="0" w:space="0" w:color="auto"/>
        <w:left w:val="none" w:sz="0" w:space="0" w:color="auto"/>
        <w:bottom w:val="none" w:sz="0" w:space="0" w:color="auto"/>
        <w:right w:val="none" w:sz="0" w:space="0" w:color="auto"/>
      </w:divBdr>
    </w:div>
    <w:div w:id="823811308">
      <w:bodyDiv w:val="1"/>
      <w:marLeft w:val="0"/>
      <w:marRight w:val="0"/>
      <w:marTop w:val="0"/>
      <w:marBottom w:val="0"/>
      <w:divBdr>
        <w:top w:val="none" w:sz="0" w:space="0" w:color="auto"/>
        <w:left w:val="none" w:sz="0" w:space="0" w:color="auto"/>
        <w:bottom w:val="none" w:sz="0" w:space="0" w:color="auto"/>
        <w:right w:val="none" w:sz="0" w:space="0" w:color="auto"/>
      </w:divBdr>
    </w:div>
    <w:div w:id="846822799">
      <w:bodyDiv w:val="1"/>
      <w:marLeft w:val="0"/>
      <w:marRight w:val="0"/>
      <w:marTop w:val="0"/>
      <w:marBottom w:val="0"/>
      <w:divBdr>
        <w:top w:val="none" w:sz="0" w:space="0" w:color="auto"/>
        <w:left w:val="none" w:sz="0" w:space="0" w:color="auto"/>
        <w:bottom w:val="none" w:sz="0" w:space="0" w:color="auto"/>
        <w:right w:val="none" w:sz="0" w:space="0" w:color="auto"/>
      </w:divBdr>
    </w:div>
    <w:div w:id="847134549">
      <w:bodyDiv w:val="1"/>
      <w:marLeft w:val="0"/>
      <w:marRight w:val="0"/>
      <w:marTop w:val="0"/>
      <w:marBottom w:val="0"/>
      <w:divBdr>
        <w:top w:val="none" w:sz="0" w:space="0" w:color="auto"/>
        <w:left w:val="none" w:sz="0" w:space="0" w:color="auto"/>
        <w:bottom w:val="none" w:sz="0" w:space="0" w:color="auto"/>
        <w:right w:val="none" w:sz="0" w:space="0" w:color="auto"/>
      </w:divBdr>
    </w:div>
    <w:div w:id="860895169">
      <w:bodyDiv w:val="1"/>
      <w:marLeft w:val="0"/>
      <w:marRight w:val="0"/>
      <w:marTop w:val="0"/>
      <w:marBottom w:val="0"/>
      <w:divBdr>
        <w:top w:val="none" w:sz="0" w:space="0" w:color="auto"/>
        <w:left w:val="none" w:sz="0" w:space="0" w:color="auto"/>
        <w:bottom w:val="none" w:sz="0" w:space="0" w:color="auto"/>
        <w:right w:val="none" w:sz="0" w:space="0" w:color="auto"/>
      </w:divBdr>
    </w:div>
    <w:div w:id="861436405">
      <w:bodyDiv w:val="1"/>
      <w:marLeft w:val="0"/>
      <w:marRight w:val="0"/>
      <w:marTop w:val="0"/>
      <w:marBottom w:val="0"/>
      <w:divBdr>
        <w:top w:val="none" w:sz="0" w:space="0" w:color="auto"/>
        <w:left w:val="none" w:sz="0" w:space="0" w:color="auto"/>
        <w:bottom w:val="none" w:sz="0" w:space="0" w:color="auto"/>
        <w:right w:val="none" w:sz="0" w:space="0" w:color="auto"/>
      </w:divBdr>
    </w:div>
    <w:div w:id="87801238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05408737">
      <w:bodyDiv w:val="1"/>
      <w:marLeft w:val="0"/>
      <w:marRight w:val="0"/>
      <w:marTop w:val="0"/>
      <w:marBottom w:val="0"/>
      <w:divBdr>
        <w:top w:val="none" w:sz="0" w:space="0" w:color="auto"/>
        <w:left w:val="none" w:sz="0" w:space="0" w:color="auto"/>
        <w:bottom w:val="none" w:sz="0" w:space="0" w:color="auto"/>
        <w:right w:val="none" w:sz="0" w:space="0" w:color="auto"/>
      </w:divBdr>
    </w:div>
    <w:div w:id="909535646">
      <w:bodyDiv w:val="1"/>
      <w:marLeft w:val="0"/>
      <w:marRight w:val="0"/>
      <w:marTop w:val="0"/>
      <w:marBottom w:val="0"/>
      <w:divBdr>
        <w:top w:val="none" w:sz="0" w:space="0" w:color="auto"/>
        <w:left w:val="none" w:sz="0" w:space="0" w:color="auto"/>
        <w:bottom w:val="none" w:sz="0" w:space="0" w:color="auto"/>
        <w:right w:val="none" w:sz="0" w:space="0" w:color="auto"/>
      </w:divBdr>
    </w:div>
    <w:div w:id="930772985">
      <w:bodyDiv w:val="1"/>
      <w:marLeft w:val="0"/>
      <w:marRight w:val="0"/>
      <w:marTop w:val="0"/>
      <w:marBottom w:val="0"/>
      <w:divBdr>
        <w:top w:val="none" w:sz="0" w:space="0" w:color="auto"/>
        <w:left w:val="none" w:sz="0" w:space="0" w:color="auto"/>
        <w:bottom w:val="none" w:sz="0" w:space="0" w:color="auto"/>
        <w:right w:val="none" w:sz="0" w:space="0" w:color="auto"/>
      </w:divBdr>
    </w:div>
    <w:div w:id="941961509">
      <w:bodyDiv w:val="1"/>
      <w:marLeft w:val="0"/>
      <w:marRight w:val="0"/>
      <w:marTop w:val="0"/>
      <w:marBottom w:val="0"/>
      <w:divBdr>
        <w:top w:val="none" w:sz="0" w:space="0" w:color="auto"/>
        <w:left w:val="none" w:sz="0" w:space="0" w:color="auto"/>
        <w:bottom w:val="none" w:sz="0" w:space="0" w:color="auto"/>
        <w:right w:val="none" w:sz="0" w:space="0" w:color="auto"/>
      </w:divBdr>
    </w:div>
    <w:div w:id="950631090">
      <w:bodyDiv w:val="1"/>
      <w:marLeft w:val="0"/>
      <w:marRight w:val="0"/>
      <w:marTop w:val="0"/>
      <w:marBottom w:val="0"/>
      <w:divBdr>
        <w:top w:val="none" w:sz="0" w:space="0" w:color="auto"/>
        <w:left w:val="none" w:sz="0" w:space="0" w:color="auto"/>
        <w:bottom w:val="none" w:sz="0" w:space="0" w:color="auto"/>
        <w:right w:val="none" w:sz="0" w:space="0" w:color="auto"/>
      </w:divBdr>
    </w:div>
    <w:div w:id="955333324">
      <w:bodyDiv w:val="1"/>
      <w:marLeft w:val="0"/>
      <w:marRight w:val="0"/>
      <w:marTop w:val="0"/>
      <w:marBottom w:val="0"/>
      <w:divBdr>
        <w:top w:val="none" w:sz="0" w:space="0" w:color="auto"/>
        <w:left w:val="none" w:sz="0" w:space="0" w:color="auto"/>
        <w:bottom w:val="none" w:sz="0" w:space="0" w:color="auto"/>
        <w:right w:val="none" w:sz="0" w:space="0" w:color="auto"/>
      </w:divBdr>
    </w:div>
    <w:div w:id="956376859">
      <w:bodyDiv w:val="1"/>
      <w:marLeft w:val="0"/>
      <w:marRight w:val="0"/>
      <w:marTop w:val="0"/>
      <w:marBottom w:val="0"/>
      <w:divBdr>
        <w:top w:val="none" w:sz="0" w:space="0" w:color="auto"/>
        <w:left w:val="none" w:sz="0" w:space="0" w:color="auto"/>
        <w:bottom w:val="none" w:sz="0" w:space="0" w:color="auto"/>
        <w:right w:val="none" w:sz="0" w:space="0" w:color="auto"/>
      </w:divBdr>
    </w:div>
    <w:div w:id="974678811">
      <w:bodyDiv w:val="1"/>
      <w:marLeft w:val="0"/>
      <w:marRight w:val="0"/>
      <w:marTop w:val="0"/>
      <w:marBottom w:val="0"/>
      <w:divBdr>
        <w:top w:val="none" w:sz="0" w:space="0" w:color="auto"/>
        <w:left w:val="none" w:sz="0" w:space="0" w:color="auto"/>
        <w:bottom w:val="none" w:sz="0" w:space="0" w:color="auto"/>
        <w:right w:val="none" w:sz="0" w:space="0" w:color="auto"/>
      </w:divBdr>
    </w:div>
    <w:div w:id="1001081696">
      <w:bodyDiv w:val="1"/>
      <w:marLeft w:val="0"/>
      <w:marRight w:val="0"/>
      <w:marTop w:val="0"/>
      <w:marBottom w:val="0"/>
      <w:divBdr>
        <w:top w:val="none" w:sz="0" w:space="0" w:color="auto"/>
        <w:left w:val="none" w:sz="0" w:space="0" w:color="auto"/>
        <w:bottom w:val="none" w:sz="0" w:space="0" w:color="auto"/>
        <w:right w:val="none" w:sz="0" w:space="0" w:color="auto"/>
      </w:divBdr>
    </w:div>
    <w:div w:id="1006591912">
      <w:bodyDiv w:val="1"/>
      <w:marLeft w:val="0"/>
      <w:marRight w:val="0"/>
      <w:marTop w:val="0"/>
      <w:marBottom w:val="0"/>
      <w:divBdr>
        <w:top w:val="none" w:sz="0" w:space="0" w:color="auto"/>
        <w:left w:val="none" w:sz="0" w:space="0" w:color="auto"/>
        <w:bottom w:val="none" w:sz="0" w:space="0" w:color="auto"/>
        <w:right w:val="none" w:sz="0" w:space="0" w:color="auto"/>
      </w:divBdr>
    </w:div>
    <w:div w:id="1009137115">
      <w:bodyDiv w:val="1"/>
      <w:marLeft w:val="0"/>
      <w:marRight w:val="0"/>
      <w:marTop w:val="0"/>
      <w:marBottom w:val="0"/>
      <w:divBdr>
        <w:top w:val="none" w:sz="0" w:space="0" w:color="auto"/>
        <w:left w:val="none" w:sz="0" w:space="0" w:color="auto"/>
        <w:bottom w:val="none" w:sz="0" w:space="0" w:color="auto"/>
        <w:right w:val="none" w:sz="0" w:space="0" w:color="auto"/>
      </w:divBdr>
    </w:div>
    <w:div w:id="1026372781">
      <w:bodyDiv w:val="1"/>
      <w:marLeft w:val="0"/>
      <w:marRight w:val="0"/>
      <w:marTop w:val="0"/>
      <w:marBottom w:val="0"/>
      <w:divBdr>
        <w:top w:val="none" w:sz="0" w:space="0" w:color="auto"/>
        <w:left w:val="none" w:sz="0" w:space="0" w:color="auto"/>
        <w:bottom w:val="none" w:sz="0" w:space="0" w:color="auto"/>
        <w:right w:val="none" w:sz="0" w:space="0" w:color="auto"/>
      </w:divBdr>
    </w:div>
    <w:div w:id="1028723502">
      <w:bodyDiv w:val="1"/>
      <w:marLeft w:val="0"/>
      <w:marRight w:val="0"/>
      <w:marTop w:val="0"/>
      <w:marBottom w:val="0"/>
      <w:divBdr>
        <w:top w:val="none" w:sz="0" w:space="0" w:color="auto"/>
        <w:left w:val="none" w:sz="0" w:space="0" w:color="auto"/>
        <w:bottom w:val="none" w:sz="0" w:space="0" w:color="auto"/>
        <w:right w:val="none" w:sz="0" w:space="0" w:color="auto"/>
      </w:divBdr>
    </w:div>
    <w:div w:id="1030490357">
      <w:bodyDiv w:val="1"/>
      <w:marLeft w:val="0"/>
      <w:marRight w:val="0"/>
      <w:marTop w:val="0"/>
      <w:marBottom w:val="0"/>
      <w:divBdr>
        <w:top w:val="none" w:sz="0" w:space="0" w:color="auto"/>
        <w:left w:val="none" w:sz="0" w:space="0" w:color="auto"/>
        <w:bottom w:val="none" w:sz="0" w:space="0" w:color="auto"/>
        <w:right w:val="none" w:sz="0" w:space="0" w:color="auto"/>
      </w:divBdr>
    </w:div>
    <w:div w:id="1054699203">
      <w:bodyDiv w:val="1"/>
      <w:marLeft w:val="0"/>
      <w:marRight w:val="0"/>
      <w:marTop w:val="0"/>
      <w:marBottom w:val="0"/>
      <w:divBdr>
        <w:top w:val="none" w:sz="0" w:space="0" w:color="auto"/>
        <w:left w:val="none" w:sz="0" w:space="0" w:color="auto"/>
        <w:bottom w:val="none" w:sz="0" w:space="0" w:color="auto"/>
        <w:right w:val="none" w:sz="0" w:space="0" w:color="auto"/>
      </w:divBdr>
    </w:div>
    <w:div w:id="1055739233">
      <w:bodyDiv w:val="1"/>
      <w:marLeft w:val="0"/>
      <w:marRight w:val="0"/>
      <w:marTop w:val="0"/>
      <w:marBottom w:val="0"/>
      <w:divBdr>
        <w:top w:val="none" w:sz="0" w:space="0" w:color="auto"/>
        <w:left w:val="none" w:sz="0" w:space="0" w:color="auto"/>
        <w:bottom w:val="none" w:sz="0" w:space="0" w:color="auto"/>
        <w:right w:val="none" w:sz="0" w:space="0" w:color="auto"/>
      </w:divBdr>
    </w:div>
    <w:div w:id="1071657366">
      <w:bodyDiv w:val="1"/>
      <w:marLeft w:val="0"/>
      <w:marRight w:val="0"/>
      <w:marTop w:val="0"/>
      <w:marBottom w:val="0"/>
      <w:divBdr>
        <w:top w:val="none" w:sz="0" w:space="0" w:color="auto"/>
        <w:left w:val="none" w:sz="0" w:space="0" w:color="auto"/>
        <w:bottom w:val="none" w:sz="0" w:space="0" w:color="auto"/>
        <w:right w:val="none" w:sz="0" w:space="0" w:color="auto"/>
      </w:divBdr>
    </w:div>
    <w:div w:id="1073890031">
      <w:bodyDiv w:val="1"/>
      <w:marLeft w:val="0"/>
      <w:marRight w:val="0"/>
      <w:marTop w:val="0"/>
      <w:marBottom w:val="0"/>
      <w:divBdr>
        <w:top w:val="none" w:sz="0" w:space="0" w:color="auto"/>
        <w:left w:val="none" w:sz="0" w:space="0" w:color="auto"/>
        <w:bottom w:val="none" w:sz="0" w:space="0" w:color="auto"/>
        <w:right w:val="none" w:sz="0" w:space="0" w:color="auto"/>
      </w:divBdr>
    </w:div>
    <w:div w:id="1094403690">
      <w:bodyDiv w:val="1"/>
      <w:marLeft w:val="0"/>
      <w:marRight w:val="0"/>
      <w:marTop w:val="0"/>
      <w:marBottom w:val="0"/>
      <w:divBdr>
        <w:top w:val="none" w:sz="0" w:space="0" w:color="auto"/>
        <w:left w:val="none" w:sz="0" w:space="0" w:color="auto"/>
        <w:bottom w:val="none" w:sz="0" w:space="0" w:color="auto"/>
        <w:right w:val="none" w:sz="0" w:space="0" w:color="auto"/>
      </w:divBdr>
    </w:div>
    <w:div w:id="1118648500">
      <w:bodyDiv w:val="1"/>
      <w:marLeft w:val="0"/>
      <w:marRight w:val="0"/>
      <w:marTop w:val="0"/>
      <w:marBottom w:val="0"/>
      <w:divBdr>
        <w:top w:val="none" w:sz="0" w:space="0" w:color="auto"/>
        <w:left w:val="none" w:sz="0" w:space="0" w:color="auto"/>
        <w:bottom w:val="none" w:sz="0" w:space="0" w:color="auto"/>
        <w:right w:val="none" w:sz="0" w:space="0" w:color="auto"/>
      </w:divBdr>
    </w:div>
    <w:div w:id="1121537720">
      <w:bodyDiv w:val="1"/>
      <w:marLeft w:val="0"/>
      <w:marRight w:val="0"/>
      <w:marTop w:val="0"/>
      <w:marBottom w:val="0"/>
      <w:divBdr>
        <w:top w:val="none" w:sz="0" w:space="0" w:color="auto"/>
        <w:left w:val="none" w:sz="0" w:space="0" w:color="auto"/>
        <w:bottom w:val="none" w:sz="0" w:space="0" w:color="auto"/>
        <w:right w:val="none" w:sz="0" w:space="0" w:color="auto"/>
      </w:divBdr>
    </w:div>
    <w:div w:id="1126578323">
      <w:bodyDiv w:val="1"/>
      <w:marLeft w:val="0"/>
      <w:marRight w:val="0"/>
      <w:marTop w:val="0"/>
      <w:marBottom w:val="0"/>
      <w:divBdr>
        <w:top w:val="none" w:sz="0" w:space="0" w:color="auto"/>
        <w:left w:val="none" w:sz="0" w:space="0" w:color="auto"/>
        <w:bottom w:val="none" w:sz="0" w:space="0" w:color="auto"/>
        <w:right w:val="none" w:sz="0" w:space="0" w:color="auto"/>
      </w:divBdr>
    </w:div>
    <w:div w:id="1138960896">
      <w:bodyDiv w:val="1"/>
      <w:marLeft w:val="0"/>
      <w:marRight w:val="0"/>
      <w:marTop w:val="0"/>
      <w:marBottom w:val="0"/>
      <w:divBdr>
        <w:top w:val="none" w:sz="0" w:space="0" w:color="auto"/>
        <w:left w:val="none" w:sz="0" w:space="0" w:color="auto"/>
        <w:bottom w:val="none" w:sz="0" w:space="0" w:color="auto"/>
        <w:right w:val="none" w:sz="0" w:space="0" w:color="auto"/>
      </w:divBdr>
    </w:div>
    <w:div w:id="1140808727">
      <w:bodyDiv w:val="1"/>
      <w:marLeft w:val="0"/>
      <w:marRight w:val="0"/>
      <w:marTop w:val="0"/>
      <w:marBottom w:val="0"/>
      <w:divBdr>
        <w:top w:val="none" w:sz="0" w:space="0" w:color="auto"/>
        <w:left w:val="none" w:sz="0" w:space="0" w:color="auto"/>
        <w:bottom w:val="none" w:sz="0" w:space="0" w:color="auto"/>
        <w:right w:val="none" w:sz="0" w:space="0" w:color="auto"/>
      </w:divBdr>
    </w:div>
    <w:div w:id="1140876942">
      <w:bodyDiv w:val="1"/>
      <w:marLeft w:val="0"/>
      <w:marRight w:val="0"/>
      <w:marTop w:val="0"/>
      <w:marBottom w:val="0"/>
      <w:divBdr>
        <w:top w:val="none" w:sz="0" w:space="0" w:color="auto"/>
        <w:left w:val="none" w:sz="0" w:space="0" w:color="auto"/>
        <w:bottom w:val="none" w:sz="0" w:space="0" w:color="auto"/>
        <w:right w:val="none" w:sz="0" w:space="0" w:color="auto"/>
      </w:divBdr>
    </w:div>
    <w:div w:id="1180435357">
      <w:bodyDiv w:val="1"/>
      <w:marLeft w:val="0"/>
      <w:marRight w:val="0"/>
      <w:marTop w:val="0"/>
      <w:marBottom w:val="0"/>
      <w:divBdr>
        <w:top w:val="none" w:sz="0" w:space="0" w:color="auto"/>
        <w:left w:val="none" w:sz="0" w:space="0" w:color="auto"/>
        <w:bottom w:val="none" w:sz="0" w:space="0" w:color="auto"/>
        <w:right w:val="none" w:sz="0" w:space="0" w:color="auto"/>
      </w:divBdr>
    </w:div>
    <w:div w:id="1188061430">
      <w:bodyDiv w:val="1"/>
      <w:marLeft w:val="0"/>
      <w:marRight w:val="0"/>
      <w:marTop w:val="0"/>
      <w:marBottom w:val="0"/>
      <w:divBdr>
        <w:top w:val="none" w:sz="0" w:space="0" w:color="auto"/>
        <w:left w:val="none" w:sz="0" w:space="0" w:color="auto"/>
        <w:bottom w:val="none" w:sz="0" w:space="0" w:color="auto"/>
        <w:right w:val="none" w:sz="0" w:space="0" w:color="auto"/>
      </w:divBdr>
    </w:div>
    <w:div w:id="1196043611">
      <w:bodyDiv w:val="1"/>
      <w:marLeft w:val="0"/>
      <w:marRight w:val="0"/>
      <w:marTop w:val="0"/>
      <w:marBottom w:val="0"/>
      <w:divBdr>
        <w:top w:val="none" w:sz="0" w:space="0" w:color="auto"/>
        <w:left w:val="none" w:sz="0" w:space="0" w:color="auto"/>
        <w:bottom w:val="none" w:sz="0" w:space="0" w:color="auto"/>
        <w:right w:val="none" w:sz="0" w:space="0" w:color="auto"/>
      </w:divBdr>
    </w:div>
    <w:div w:id="1197936088">
      <w:bodyDiv w:val="1"/>
      <w:marLeft w:val="0"/>
      <w:marRight w:val="0"/>
      <w:marTop w:val="0"/>
      <w:marBottom w:val="0"/>
      <w:divBdr>
        <w:top w:val="none" w:sz="0" w:space="0" w:color="auto"/>
        <w:left w:val="none" w:sz="0" w:space="0" w:color="auto"/>
        <w:bottom w:val="none" w:sz="0" w:space="0" w:color="auto"/>
        <w:right w:val="none" w:sz="0" w:space="0" w:color="auto"/>
      </w:divBdr>
    </w:div>
    <w:div w:id="1208106300">
      <w:bodyDiv w:val="1"/>
      <w:marLeft w:val="0"/>
      <w:marRight w:val="0"/>
      <w:marTop w:val="0"/>
      <w:marBottom w:val="0"/>
      <w:divBdr>
        <w:top w:val="none" w:sz="0" w:space="0" w:color="auto"/>
        <w:left w:val="none" w:sz="0" w:space="0" w:color="auto"/>
        <w:bottom w:val="none" w:sz="0" w:space="0" w:color="auto"/>
        <w:right w:val="none" w:sz="0" w:space="0" w:color="auto"/>
      </w:divBdr>
    </w:div>
    <w:div w:id="1212574621">
      <w:bodyDiv w:val="1"/>
      <w:marLeft w:val="0"/>
      <w:marRight w:val="0"/>
      <w:marTop w:val="0"/>
      <w:marBottom w:val="0"/>
      <w:divBdr>
        <w:top w:val="none" w:sz="0" w:space="0" w:color="auto"/>
        <w:left w:val="none" w:sz="0" w:space="0" w:color="auto"/>
        <w:bottom w:val="none" w:sz="0" w:space="0" w:color="auto"/>
        <w:right w:val="none" w:sz="0" w:space="0" w:color="auto"/>
      </w:divBdr>
    </w:div>
    <w:div w:id="1236669136">
      <w:bodyDiv w:val="1"/>
      <w:marLeft w:val="0"/>
      <w:marRight w:val="0"/>
      <w:marTop w:val="0"/>
      <w:marBottom w:val="0"/>
      <w:divBdr>
        <w:top w:val="none" w:sz="0" w:space="0" w:color="auto"/>
        <w:left w:val="none" w:sz="0" w:space="0" w:color="auto"/>
        <w:bottom w:val="none" w:sz="0" w:space="0" w:color="auto"/>
        <w:right w:val="none" w:sz="0" w:space="0" w:color="auto"/>
      </w:divBdr>
    </w:div>
    <w:div w:id="1249389818">
      <w:bodyDiv w:val="1"/>
      <w:marLeft w:val="0"/>
      <w:marRight w:val="0"/>
      <w:marTop w:val="0"/>
      <w:marBottom w:val="0"/>
      <w:divBdr>
        <w:top w:val="none" w:sz="0" w:space="0" w:color="auto"/>
        <w:left w:val="none" w:sz="0" w:space="0" w:color="auto"/>
        <w:bottom w:val="none" w:sz="0" w:space="0" w:color="auto"/>
        <w:right w:val="none" w:sz="0" w:space="0" w:color="auto"/>
      </w:divBdr>
    </w:div>
    <w:div w:id="1280064007">
      <w:bodyDiv w:val="1"/>
      <w:marLeft w:val="0"/>
      <w:marRight w:val="0"/>
      <w:marTop w:val="0"/>
      <w:marBottom w:val="0"/>
      <w:divBdr>
        <w:top w:val="none" w:sz="0" w:space="0" w:color="auto"/>
        <w:left w:val="none" w:sz="0" w:space="0" w:color="auto"/>
        <w:bottom w:val="none" w:sz="0" w:space="0" w:color="auto"/>
        <w:right w:val="none" w:sz="0" w:space="0" w:color="auto"/>
      </w:divBdr>
    </w:div>
    <w:div w:id="1286276672">
      <w:bodyDiv w:val="1"/>
      <w:marLeft w:val="0"/>
      <w:marRight w:val="0"/>
      <w:marTop w:val="0"/>
      <w:marBottom w:val="0"/>
      <w:divBdr>
        <w:top w:val="none" w:sz="0" w:space="0" w:color="auto"/>
        <w:left w:val="none" w:sz="0" w:space="0" w:color="auto"/>
        <w:bottom w:val="none" w:sz="0" w:space="0" w:color="auto"/>
        <w:right w:val="none" w:sz="0" w:space="0" w:color="auto"/>
      </w:divBdr>
    </w:div>
    <w:div w:id="1295059341">
      <w:bodyDiv w:val="1"/>
      <w:marLeft w:val="0"/>
      <w:marRight w:val="0"/>
      <w:marTop w:val="0"/>
      <w:marBottom w:val="0"/>
      <w:divBdr>
        <w:top w:val="none" w:sz="0" w:space="0" w:color="auto"/>
        <w:left w:val="none" w:sz="0" w:space="0" w:color="auto"/>
        <w:bottom w:val="none" w:sz="0" w:space="0" w:color="auto"/>
        <w:right w:val="none" w:sz="0" w:space="0" w:color="auto"/>
      </w:divBdr>
    </w:div>
    <w:div w:id="1337535156">
      <w:bodyDiv w:val="1"/>
      <w:marLeft w:val="0"/>
      <w:marRight w:val="0"/>
      <w:marTop w:val="0"/>
      <w:marBottom w:val="0"/>
      <w:divBdr>
        <w:top w:val="none" w:sz="0" w:space="0" w:color="auto"/>
        <w:left w:val="none" w:sz="0" w:space="0" w:color="auto"/>
        <w:bottom w:val="none" w:sz="0" w:space="0" w:color="auto"/>
        <w:right w:val="none" w:sz="0" w:space="0" w:color="auto"/>
      </w:divBdr>
    </w:div>
    <w:div w:id="1344554460">
      <w:bodyDiv w:val="1"/>
      <w:marLeft w:val="0"/>
      <w:marRight w:val="0"/>
      <w:marTop w:val="0"/>
      <w:marBottom w:val="0"/>
      <w:divBdr>
        <w:top w:val="none" w:sz="0" w:space="0" w:color="auto"/>
        <w:left w:val="none" w:sz="0" w:space="0" w:color="auto"/>
        <w:bottom w:val="none" w:sz="0" w:space="0" w:color="auto"/>
        <w:right w:val="none" w:sz="0" w:space="0" w:color="auto"/>
      </w:divBdr>
    </w:div>
    <w:div w:id="1344670125">
      <w:bodyDiv w:val="1"/>
      <w:marLeft w:val="0"/>
      <w:marRight w:val="0"/>
      <w:marTop w:val="0"/>
      <w:marBottom w:val="0"/>
      <w:divBdr>
        <w:top w:val="none" w:sz="0" w:space="0" w:color="auto"/>
        <w:left w:val="none" w:sz="0" w:space="0" w:color="auto"/>
        <w:bottom w:val="none" w:sz="0" w:space="0" w:color="auto"/>
        <w:right w:val="none" w:sz="0" w:space="0" w:color="auto"/>
      </w:divBdr>
    </w:div>
    <w:div w:id="1369062480">
      <w:bodyDiv w:val="1"/>
      <w:marLeft w:val="0"/>
      <w:marRight w:val="0"/>
      <w:marTop w:val="0"/>
      <w:marBottom w:val="0"/>
      <w:divBdr>
        <w:top w:val="none" w:sz="0" w:space="0" w:color="auto"/>
        <w:left w:val="none" w:sz="0" w:space="0" w:color="auto"/>
        <w:bottom w:val="none" w:sz="0" w:space="0" w:color="auto"/>
        <w:right w:val="none" w:sz="0" w:space="0" w:color="auto"/>
      </w:divBdr>
    </w:div>
    <w:div w:id="1381973597">
      <w:bodyDiv w:val="1"/>
      <w:marLeft w:val="0"/>
      <w:marRight w:val="0"/>
      <w:marTop w:val="0"/>
      <w:marBottom w:val="0"/>
      <w:divBdr>
        <w:top w:val="none" w:sz="0" w:space="0" w:color="auto"/>
        <w:left w:val="none" w:sz="0" w:space="0" w:color="auto"/>
        <w:bottom w:val="none" w:sz="0" w:space="0" w:color="auto"/>
        <w:right w:val="none" w:sz="0" w:space="0" w:color="auto"/>
      </w:divBdr>
    </w:div>
    <w:div w:id="1400324810">
      <w:bodyDiv w:val="1"/>
      <w:marLeft w:val="0"/>
      <w:marRight w:val="0"/>
      <w:marTop w:val="0"/>
      <w:marBottom w:val="0"/>
      <w:divBdr>
        <w:top w:val="none" w:sz="0" w:space="0" w:color="auto"/>
        <w:left w:val="none" w:sz="0" w:space="0" w:color="auto"/>
        <w:bottom w:val="none" w:sz="0" w:space="0" w:color="auto"/>
        <w:right w:val="none" w:sz="0" w:space="0" w:color="auto"/>
      </w:divBdr>
    </w:div>
    <w:div w:id="1423263837">
      <w:bodyDiv w:val="1"/>
      <w:marLeft w:val="0"/>
      <w:marRight w:val="0"/>
      <w:marTop w:val="0"/>
      <w:marBottom w:val="0"/>
      <w:divBdr>
        <w:top w:val="none" w:sz="0" w:space="0" w:color="auto"/>
        <w:left w:val="none" w:sz="0" w:space="0" w:color="auto"/>
        <w:bottom w:val="none" w:sz="0" w:space="0" w:color="auto"/>
        <w:right w:val="none" w:sz="0" w:space="0" w:color="auto"/>
      </w:divBdr>
    </w:div>
    <w:div w:id="1424305855">
      <w:bodyDiv w:val="1"/>
      <w:marLeft w:val="0"/>
      <w:marRight w:val="0"/>
      <w:marTop w:val="0"/>
      <w:marBottom w:val="0"/>
      <w:divBdr>
        <w:top w:val="none" w:sz="0" w:space="0" w:color="auto"/>
        <w:left w:val="none" w:sz="0" w:space="0" w:color="auto"/>
        <w:bottom w:val="none" w:sz="0" w:space="0" w:color="auto"/>
        <w:right w:val="none" w:sz="0" w:space="0" w:color="auto"/>
      </w:divBdr>
    </w:div>
    <w:div w:id="1443182534">
      <w:bodyDiv w:val="1"/>
      <w:marLeft w:val="0"/>
      <w:marRight w:val="0"/>
      <w:marTop w:val="0"/>
      <w:marBottom w:val="0"/>
      <w:divBdr>
        <w:top w:val="none" w:sz="0" w:space="0" w:color="auto"/>
        <w:left w:val="none" w:sz="0" w:space="0" w:color="auto"/>
        <w:bottom w:val="none" w:sz="0" w:space="0" w:color="auto"/>
        <w:right w:val="none" w:sz="0" w:space="0" w:color="auto"/>
      </w:divBdr>
    </w:div>
    <w:div w:id="1456827181">
      <w:bodyDiv w:val="1"/>
      <w:marLeft w:val="0"/>
      <w:marRight w:val="0"/>
      <w:marTop w:val="0"/>
      <w:marBottom w:val="0"/>
      <w:divBdr>
        <w:top w:val="none" w:sz="0" w:space="0" w:color="auto"/>
        <w:left w:val="none" w:sz="0" w:space="0" w:color="auto"/>
        <w:bottom w:val="none" w:sz="0" w:space="0" w:color="auto"/>
        <w:right w:val="none" w:sz="0" w:space="0" w:color="auto"/>
      </w:divBdr>
    </w:div>
    <w:div w:id="1458990116">
      <w:bodyDiv w:val="1"/>
      <w:marLeft w:val="0"/>
      <w:marRight w:val="0"/>
      <w:marTop w:val="0"/>
      <w:marBottom w:val="0"/>
      <w:divBdr>
        <w:top w:val="none" w:sz="0" w:space="0" w:color="auto"/>
        <w:left w:val="none" w:sz="0" w:space="0" w:color="auto"/>
        <w:bottom w:val="none" w:sz="0" w:space="0" w:color="auto"/>
        <w:right w:val="none" w:sz="0" w:space="0" w:color="auto"/>
      </w:divBdr>
    </w:div>
    <w:div w:id="1470628610">
      <w:bodyDiv w:val="1"/>
      <w:marLeft w:val="0"/>
      <w:marRight w:val="0"/>
      <w:marTop w:val="0"/>
      <w:marBottom w:val="0"/>
      <w:divBdr>
        <w:top w:val="none" w:sz="0" w:space="0" w:color="auto"/>
        <w:left w:val="none" w:sz="0" w:space="0" w:color="auto"/>
        <w:bottom w:val="none" w:sz="0" w:space="0" w:color="auto"/>
        <w:right w:val="none" w:sz="0" w:space="0" w:color="auto"/>
      </w:divBdr>
    </w:div>
    <w:div w:id="1504707953">
      <w:bodyDiv w:val="1"/>
      <w:marLeft w:val="0"/>
      <w:marRight w:val="0"/>
      <w:marTop w:val="0"/>
      <w:marBottom w:val="0"/>
      <w:divBdr>
        <w:top w:val="none" w:sz="0" w:space="0" w:color="auto"/>
        <w:left w:val="none" w:sz="0" w:space="0" w:color="auto"/>
        <w:bottom w:val="none" w:sz="0" w:space="0" w:color="auto"/>
        <w:right w:val="none" w:sz="0" w:space="0" w:color="auto"/>
      </w:divBdr>
    </w:div>
    <w:div w:id="1554267773">
      <w:bodyDiv w:val="1"/>
      <w:marLeft w:val="0"/>
      <w:marRight w:val="0"/>
      <w:marTop w:val="0"/>
      <w:marBottom w:val="0"/>
      <w:divBdr>
        <w:top w:val="none" w:sz="0" w:space="0" w:color="auto"/>
        <w:left w:val="none" w:sz="0" w:space="0" w:color="auto"/>
        <w:bottom w:val="none" w:sz="0" w:space="0" w:color="auto"/>
        <w:right w:val="none" w:sz="0" w:space="0" w:color="auto"/>
      </w:divBdr>
    </w:div>
    <w:div w:id="1569613924">
      <w:bodyDiv w:val="1"/>
      <w:marLeft w:val="0"/>
      <w:marRight w:val="0"/>
      <w:marTop w:val="0"/>
      <w:marBottom w:val="0"/>
      <w:divBdr>
        <w:top w:val="none" w:sz="0" w:space="0" w:color="auto"/>
        <w:left w:val="none" w:sz="0" w:space="0" w:color="auto"/>
        <w:bottom w:val="none" w:sz="0" w:space="0" w:color="auto"/>
        <w:right w:val="none" w:sz="0" w:space="0" w:color="auto"/>
      </w:divBdr>
    </w:div>
    <w:div w:id="1586039365">
      <w:bodyDiv w:val="1"/>
      <w:marLeft w:val="0"/>
      <w:marRight w:val="0"/>
      <w:marTop w:val="0"/>
      <w:marBottom w:val="0"/>
      <w:divBdr>
        <w:top w:val="none" w:sz="0" w:space="0" w:color="auto"/>
        <w:left w:val="none" w:sz="0" w:space="0" w:color="auto"/>
        <w:bottom w:val="none" w:sz="0" w:space="0" w:color="auto"/>
        <w:right w:val="none" w:sz="0" w:space="0" w:color="auto"/>
      </w:divBdr>
    </w:div>
    <w:div w:id="1600335817">
      <w:bodyDiv w:val="1"/>
      <w:marLeft w:val="0"/>
      <w:marRight w:val="0"/>
      <w:marTop w:val="0"/>
      <w:marBottom w:val="0"/>
      <w:divBdr>
        <w:top w:val="none" w:sz="0" w:space="0" w:color="auto"/>
        <w:left w:val="none" w:sz="0" w:space="0" w:color="auto"/>
        <w:bottom w:val="none" w:sz="0" w:space="0" w:color="auto"/>
        <w:right w:val="none" w:sz="0" w:space="0" w:color="auto"/>
      </w:divBdr>
    </w:div>
    <w:div w:id="1624387681">
      <w:bodyDiv w:val="1"/>
      <w:marLeft w:val="0"/>
      <w:marRight w:val="0"/>
      <w:marTop w:val="0"/>
      <w:marBottom w:val="0"/>
      <w:divBdr>
        <w:top w:val="none" w:sz="0" w:space="0" w:color="auto"/>
        <w:left w:val="none" w:sz="0" w:space="0" w:color="auto"/>
        <w:bottom w:val="none" w:sz="0" w:space="0" w:color="auto"/>
        <w:right w:val="none" w:sz="0" w:space="0" w:color="auto"/>
      </w:divBdr>
    </w:div>
    <w:div w:id="1626622339">
      <w:bodyDiv w:val="1"/>
      <w:marLeft w:val="0"/>
      <w:marRight w:val="0"/>
      <w:marTop w:val="0"/>
      <w:marBottom w:val="0"/>
      <w:divBdr>
        <w:top w:val="none" w:sz="0" w:space="0" w:color="auto"/>
        <w:left w:val="none" w:sz="0" w:space="0" w:color="auto"/>
        <w:bottom w:val="none" w:sz="0" w:space="0" w:color="auto"/>
        <w:right w:val="none" w:sz="0" w:space="0" w:color="auto"/>
      </w:divBdr>
    </w:div>
    <w:div w:id="1629121852">
      <w:bodyDiv w:val="1"/>
      <w:marLeft w:val="0"/>
      <w:marRight w:val="0"/>
      <w:marTop w:val="0"/>
      <w:marBottom w:val="0"/>
      <w:divBdr>
        <w:top w:val="none" w:sz="0" w:space="0" w:color="auto"/>
        <w:left w:val="none" w:sz="0" w:space="0" w:color="auto"/>
        <w:bottom w:val="none" w:sz="0" w:space="0" w:color="auto"/>
        <w:right w:val="none" w:sz="0" w:space="0" w:color="auto"/>
      </w:divBdr>
    </w:div>
    <w:div w:id="1647708688">
      <w:bodyDiv w:val="1"/>
      <w:marLeft w:val="0"/>
      <w:marRight w:val="0"/>
      <w:marTop w:val="0"/>
      <w:marBottom w:val="0"/>
      <w:divBdr>
        <w:top w:val="none" w:sz="0" w:space="0" w:color="auto"/>
        <w:left w:val="none" w:sz="0" w:space="0" w:color="auto"/>
        <w:bottom w:val="none" w:sz="0" w:space="0" w:color="auto"/>
        <w:right w:val="none" w:sz="0" w:space="0" w:color="auto"/>
      </w:divBdr>
    </w:div>
    <w:div w:id="1647738431">
      <w:bodyDiv w:val="1"/>
      <w:marLeft w:val="0"/>
      <w:marRight w:val="0"/>
      <w:marTop w:val="0"/>
      <w:marBottom w:val="0"/>
      <w:divBdr>
        <w:top w:val="none" w:sz="0" w:space="0" w:color="auto"/>
        <w:left w:val="none" w:sz="0" w:space="0" w:color="auto"/>
        <w:bottom w:val="none" w:sz="0" w:space="0" w:color="auto"/>
        <w:right w:val="none" w:sz="0" w:space="0" w:color="auto"/>
      </w:divBdr>
    </w:div>
    <w:div w:id="1661151057">
      <w:bodyDiv w:val="1"/>
      <w:marLeft w:val="0"/>
      <w:marRight w:val="0"/>
      <w:marTop w:val="0"/>
      <w:marBottom w:val="0"/>
      <w:divBdr>
        <w:top w:val="none" w:sz="0" w:space="0" w:color="auto"/>
        <w:left w:val="none" w:sz="0" w:space="0" w:color="auto"/>
        <w:bottom w:val="none" w:sz="0" w:space="0" w:color="auto"/>
        <w:right w:val="none" w:sz="0" w:space="0" w:color="auto"/>
      </w:divBdr>
    </w:div>
    <w:div w:id="1667200329">
      <w:bodyDiv w:val="1"/>
      <w:marLeft w:val="0"/>
      <w:marRight w:val="0"/>
      <w:marTop w:val="0"/>
      <w:marBottom w:val="0"/>
      <w:divBdr>
        <w:top w:val="none" w:sz="0" w:space="0" w:color="auto"/>
        <w:left w:val="none" w:sz="0" w:space="0" w:color="auto"/>
        <w:bottom w:val="none" w:sz="0" w:space="0" w:color="auto"/>
        <w:right w:val="none" w:sz="0" w:space="0" w:color="auto"/>
      </w:divBdr>
    </w:div>
    <w:div w:id="1689788509">
      <w:bodyDiv w:val="1"/>
      <w:marLeft w:val="0"/>
      <w:marRight w:val="0"/>
      <w:marTop w:val="0"/>
      <w:marBottom w:val="0"/>
      <w:divBdr>
        <w:top w:val="none" w:sz="0" w:space="0" w:color="auto"/>
        <w:left w:val="none" w:sz="0" w:space="0" w:color="auto"/>
        <w:bottom w:val="none" w:sz="0" w:space="0" w:color="auto"/>
        <w:right w:val="none" w:sz="0" w:space="0" w:color="auto"/>
      </w:divBdr>
    </w:div>
    <w:div w:id="1692026579">
      <w:bodyDiv w:val="1"/>
      <w:marLeft w:val="0"/>
      <w:marRight w:val="0"/>
      <w:marTop w:val="0"/>
      <w:marBottom w:val="0"/>
      <w:divBdr>
        <w:top w:val="none" w:sz="0" w:space="0" w:color="auto"/>
        <w:left w:val="none" w:sz="0" w:space="0" w:color="auto"/>
        <w:bottom w:val="none" w:sz="0" w:space="0" w:color="auto"/>
        <w:right w:val="none" w:sz="0" w:space="0" w:color="auto"/>
      </w:divBdr>
    </w:div>
    <w:div w:id="1717198538">
      <w:bodyDiv w:val="1"/>
      <w:marLeft w:val="0"/>
      <w:marRight w:val="0"/>
      <w:marTop w:val="0"/>
      <w:marBottom w:val="0"/>
      <w:divBdr>
        <w:top w:val="none" w:sz="0" w:space="0" w:color="auto"/>
        <w:left w:val="none" w:sz="0" w:space="0" w:color="auto"/>
        <w:bottom w:val="none" w:sz="0" w:space="0" w:color="auto"/>
        <w:right w:val="none" w:sz="0" w:space="0" w:color="auto"/>
      </w:divBdr>
    </w:div>
    <w:div w:id="1739084954">
      <w:bodyDiv w:val="1"/>
      <w:marLeft w:val="0"/>
      <w:marRight w:val="0"/>
      <w:marTop w:val="0"/>
      <w:marBottom w:val="0"/>
      <w:divBdr>
        <w:top w:val="none" w:sz="0" w:space="0" w:color="auto"/>
        <w:left w:val="none" w:sz="0" w:space="0" w:color="auto"/>
        <w:bottom w:val="none" w:sz="0" w:space="0" w:color="auto"/>
        <w:right w:val="none" w:sz="0" w:space="0" w:color="auto"/>
      </w:divBdr>
    </w:div>
    <w:div w:id="1746106845">
      <w:bodyDiv w:val="1"/>
      <w:marLeft w:val="0"/>
      <w:marRight w:val="0"/>
      <w:marTop w:val="0"/>
      <w:marBottom w:val="0"/>
      <w:divBdr>
        <w:top w:val="none" w:sz="0" w:space="0" w:color="auto"/>
        <w:left w:val="none" w:sz="0" w:space="0" w:color="auto"/>
        <w:bottom w:val="none" w:sz="0" w:space="0" w:color="auto"/>
        <w:right w:val="none" w:sz="0" w:space="0" w:color="auto"/>
      </w:divBdr>
    </w:div>
    <w:div w:id="1757240159">
      <w:bodyDiv w:val="1"/>
      <w:marLeft w:val="0"/>
      <w:marRight w:val="0"/>
      <w:marTop w:val="0"/>
      <w:marBottom w:val="0"/>
      <w:divBdr>
        <w:top w:val="none" w:sz="0" w:space="0" w:color="auto"/>
        <w:left w:val="none" w:sz="0" w:space="0" w:color="auto"/>
        <w:bottom w:val="none" w:sz="0" w:space="0" w:color="auto"/>
        <w:right w:val="none" w:sz="0" w:space="0" w:color="auto"/>
      </w:divBdr>
    </w:div>
    <w:div w:id="1776174450">
      <w:bodyDiv w:val="1"/>
      <w:marLeft w:val="0"/>
      <w:marRight w:val="0"/>
      <w:marTop w:val="0"/>
      <w:marBottom w:val="0"/>
      <w:divBdr>
        <w:top w:val="none" w:sz="0" w:space="0" w:color="auto"/>
        <w:left w:val="none" w:sz="0" w:space="0" w:color="auto"/>
        <w:bottom w:val="none" w:sz="0" w:space="0" w:color="auto"/>
        <w:right w:val="none" w:sz="0" w:space="0" w:color="auto"/>
      </w:divBdr>
    </w:div>
    <w:div w:id="1792169254">
      <w:bodyDiv w:val="1"/>
      <w:marLeft w:val="0"/>
      <w:marRight w:val="0"/>
      <w:marTop w:val="0"/>
      <w:marBottom w:val="0"/>
      <w:divBdr>
        <w:top w:val="none" w:sz="0" w:space="0" w:color="auto"/>
        <w:left w:val="none" w:sz="0" w:space="0" w:color="auto"/>
        <w:bottom w:val="none" w:sz="0" w:space="0" w:color="auto"/>
        <w:right w:val="none" w:sz="0" w:space="0" w:color="auto"/>
      </w:divBdr>
    </w:div>
    <w:div w:id="1793208880">
      <w:bodyDiv w:val="1"/>
      <w:marLeft w:val="0"/>
      <w:marRight w:val="0"/>
      <w:marTop w:val="0"/>
      <w:marBottom w:val="0"/>
      <w:divBdr>
        <w:top w:val="none" w:sz="0" w:space="0" w:color="auto"/>
        <w:left w:val="none" w:sz="0" w:space="0" w:color="auto"/>
        <w:bottom w:val="none" w:sz="0" w:space="0" w:color="auto"/>
        <w:right w:val="none" w:sz="0" w:space="0" w:color="auto"/>
      </w:divBdr>
    </w:div>
    <w:div w:id="1801220160">
      <w:bodyDiv w:val="1"/>
      <w:marLeft w:val="0"/>
      <w:marRight w:val="0"/>
      <w:marTop w:val="0"/>
      <w:marBottom w:val="0"/>
      <w:divBdr>
        <w:top w:val="none" w:sz="0" w:space="0" w:color="auto"/>
        <w:left w:val="none" w:sz="0" w:space="0" w:color="auto"/>
        <w:bottom w:val="none" w:sz="0" w:space="0" w:color="auto"/>
        <w:right w:val="none" w:sz="0" w:space="0" w:color="auto"/>
      </w:divBdr>
    </w:div>
    <w:div w:id="1811939625">
      <w:bodyDiv w:val="1"/>
      <w:marLeft w:val="0"/>
      <w:marRight w:val="0"/>
      <w:marTop w:val="0"/>
      <w:marBottom w:val="0"/>
      <w:divBdr>
        <w:top w:val="none" w:sz="0" w:space="0" w:color="auto"/>
        <w:left w:val="none" w:sz="0" w:space="0" w:color="auto"/>
        <w:bottom w:val="none" w:sz="0" w:space="0" w:color="auto"/>
        <w:right w:val="none" w:sz="0" w:space="0" w:color="auto"/>
      </w:divBdr>
    </w:div>
    <w:div w:id="1818759416">
      <w:bodyDiv w:val="1"/>
      <w:marLeft w:val="0"/>
      <w:marRight w:val="0"/>
      <w:marTop w:val="0"/>
      <w:marBottom w:val="0"/>
      <w:divBdr>
        <w:top w:val="none" w:sz="0" w:space="0" w:color="auto"/>
        <w:left w:val="none" w:sz="0" w:space="0" w:color="auto"/>
        <w:bottom w:val="none" w:sz="0" w:space="0" w:color="auto"/>
        <w:right w:val="none" w:sz="0" w:space="0" w:color="auto"/>
      </w:divBdr>
    </w:div>
    <w:div w:id="1830973493">
      <w:bodyDiv w:val="1"/>
      <w:marLeft w:val="0"/>
      <w:marRight w:val="0"/>
      <w:marTop w:val="0"/>
      <w:marBottom w:val="0"/>
      <w:divBdr>
        <w:top w:val="none" w:sz="0" w:space="0" w:color="auto"/>
        <w:left w:val="none" w:sz="0" w:space="0" w:color="auto"/>
        <w:bottom w:val="none" w:sz="0" w:space="0" w:color="auto"/>
        <w:right w:val="none" w:sz="0" w:space="0" w:color="auto"/>
      </w:divBdr>
    </w:div>
    <w:div w:id="1832714432">
      <w:bodyDiv w:val="1"/>
      <w:marLeft w:val="0"/>
      <w:marRight w:val="0"/>
      <w:marTop w:val="0"/>
      <w:marBottom w:val="0"/>
      <w:divBdr>
        <w:top w:val="none" w:sz="0" w:space="0" w:color="auto"/>
        <w:left w:val="none" w:sz="0" w:space="0" w:color="auto"/>
        <w:bottom w:val="none" w:sz="0" w:space="0" w:color="auto"/>
        <w:right w:val="none" w:sz="0" w:space="0" w:color="auto"/>
      </w:divBdr>
    </w:div>
    <w:div w:id="1837265231">
      <w:bodyDiv w:val="1"/>
      <w:marLeft w:val="0"/>
      <w:marRight w:val="0"/>
      <w:marTop w:val="0"/>
      <w:marBottom w:val="0"/>
      <w:divBdr>
        <w:top w:val="none" w:sz="0" w:space="0" w:color="auto"/>
        <w:left w:val="none" w:sz="0" w:space="0" w:color="auto"/>
        <w:bottom w:val="none" w:sz="0" w:space="0" w:color="auto"/>
        <w:right w:val="none" w:sz="0" w:space="0" w:color="auto"/>
      </w:divBdr>
    </w:div>
    <w:div w:id="1838302316">
      <w:bodyDiv w:val="1"/>
      <w:marLeft w:val="0"/>
      <w:marRight w:val="0"/>
      <w:marTop w:val="0"/>
      <w:marBottom w:val="0"/>
      <w:divBdr>
        <w:top w:val="none" w:sz="0" w:space="0" w:color="auto"/>
        <w:left w:val="none" w:sz="0" w:space="0" w:color="auto"/>
        <w:bottom w:val="none" w:sz="0" w:space="0" w:color="auto"/>
        <w:right w:val="none" w:sz="0" w:space="0" w:color="auto"/>
      </w:divBdr>
    </w:div>
    <w:div w:id="1847861763">
      <w:bodyDiv w:val="1"/>
      <w:marLeft w:val="0"/>
      <w:marRight w:val="0"/>
      <w:marTop w:val="0"/>
      <w:marBottom w:val="0"/>
      <w:divBdr>
        <w:top w:val="none" w:sz="0" w:space="0" w:color="auto"/>
        <w:left w:val="none" w:sz="0" w:space="0" w:color="auto"/>
        <w:bottom w:val="none" w:sz="0" w:space="0" w:color="auto"/>
        <w:right w:val="none" w:sz="0" w:space="0" w:color="auto"/>
      </w:divBdr>
    </w:div>
    <w:div w:id="1848979687">
      <w:bodyDiv w:val="1"/>
      <w:marLeft w:val="0"/>
      <w:marRight w:val="0"/>
      <w:marTop w:val="0"/>
      <w:marBottom w:val="0"/>
      <w:divBdr>
        <w:top w:val="none" w:sz="0" w:space="0" w:color="auto"/>
        <w:left w:val="none" w:sz="0" w:space="0" w:color="auto"/>
        <w:bottom w:val="none" w:sz="0" w:space="0" w:color="auto"/>
        <w:right w:val="none" w:sz="0" w:space="0" w:color="auto"/>
      </w:divBdr>
    </w:div>
    <w:div w:id="1853831762">
      <w:bodyDiv w:val="1"/>
      <w:marLeft w:val="0"/>
      <w:marRight w:val="0"/>
      <w:marTop w:val="0"/>
      <w:marBottom w:val="0"/>
      <w:divBdr>
        <w:top w:val="none" w:sz="0" w:space="0" w:color="auto"/>
        <w:left w:val="none" w:sz="0" w:space="0" w:color="auto"/>
        <w:bottom w:val="none" w:sz="0" w:space="0" w:color="auto"/>
        <w:right w:val="none" w:sz="0" w:space="0" w:color="auto"/>
      </w:divBdr>
    </w:div>
    <w:div w:id="1859543476">
      <w:bodyDiv w:val="1"/>
      <w:marLeft w:val="0"/>
      <w:marRight w:val="0"/>
      <w:marTop w:val="0"/>
      <w:marBottom w:val="0"/>
      <w:divBdr>
        <w:top w:val="none" w:sz="0" w:space="0" w:color="auto"/>
        <w:left w:val="none" w:sz="0" w:space="0" w:color="auto"/>
        <w:bottom w:val="none" w:sz="0" w:space="0" w:color="auto"/>
        <w:right w:val="none" w:sz="0" w:space="0" w:color="auto"/>
      </w:divBdr>
    </w:div>
    <w:div w:id="1865551787">
      <w:bodyDiv w:val="1"/>
      <w:marLeft w:val="0"/>
      <w:marRight w:val="0"/>
      <w:marTop w:val="0"/>
      <w:marBottom w:val="0"/>
      <w:divBdr>
        <w:top w:val="none" w:sz="0" w:space="0" w:color="auto"/>
        <w:left w:val="none" w:sz="0" w:space="0" w:color="auto"/>
        <w:bottom w:val="none" w:sz="0" w:space="0" w:color="auto"/>
        <w:right w:val="none" w:sz="0" w:space="0" w:color="auto"/>
      </w:divBdr>
    </w:div>
    <w:div w:id="1879197023">
      <w:bodyDiv w:val="1"/>
      <w:marLeft w:val="0"/>
      <w:marRight w:val="0"/>
      <w:marTop w:val="0"/>
      <w:marBottom w:val="0"/>
      <w:divBdr>
        <w:top w:val="none" w:sz="0" w:space="0" w:color="auto"/>
        <w:left w:val="none" w:sz="0" w:space="0" w:color="auto"/>
        <w:bottom w:val="none" w:sz="0" w:space="0" w:color="auto"/>
        <w:right w:val="none" w:sz="0" w:space="0" w:color="auto"/>
      </w:divBdr>
    </w:div>
    <w:div w:id="1885435752">
      <w:bodyDiv w:val="1"/>
      <w:marLeft w:val="0"/>
      <w:marRight w:val="0"/>
      <w:marTop w:val="0"/>
      <w:marBottom w:val="0"/>
      <w:divBdr>
        <w:top w:val="none" w:sz="0" w:space="0" w:color="auto"/>
        <w:left w:val="none" w:sz="0" w:space="0" w:color="auto"/>
        <w:bottom w:val="none" w:sz="0" w:space="0" w:color="auto"/>
        <w:right w:val="none" w:sz="0" w:space="0" w:color="auto"/>
      </w:divBdr>
    </w:div>
    <w:div w:id="1907566921">
      <w:bodyDiv w:val="1"/>
      <w:marLeft w:val="0"/>
      <w:marRight w:val="0"/>
      <w:marTop w:val="0"/>
      <w:marBottom w:val="0"/>
      <w:divBdr>
        <w:top w:val="none" w:sz="0" w:space="0" w:color="auto"/>
        <w:left w:val="none" w:sz="0" w:space="0" w:color="auto"/>
        <w:bottom w:val="none" w:sz="0" w:space="0" w:color="auto"/>
        <w:right w:val="none" w:sz="0" w:space="0" w:color="auto"/>
      </w:divBdr>
    </w:div>
    <w:div w:id="1911773737">
      <w:bodyDiv w:val="1"/>
      <w:marLeft w:val="0"/>
      <w:marRight w:val="0"/>
      <w:marTop w:val="0"/>
      <w:marBottom w:val="0"/>
      <w:divBdr>
        <w:top w:val="none" w:sz="0" w:space="0" w:color="auto"/>
        <w:left w:val="none" w:sz="0" w:space="0" w:color="auto"/>
        <w:bottom w:val="none" w:sz="0" w:space="0" w:color="auto"/>
        <w:right w:val="none" w:sz="0" w:space="0" w:color="auto"/>
      </w:divBdr>
    </w:div>
    <w:div w:id="1923178478">
      <w:bodyDiv w:val="1"/>
      <w:marLeft w:val="0"/>
      <w:marRight w:val="0"/>
      <w:marTop w:val="0"/>
      <w:marBottom w:val="0"/>
      <w:divBdr>
        <w:top w:val="none" w:sz="0" w:space="0" w:color="auto"/>
        <w:left w:val="none" w:sz="0" w:space="0" w:color="auto"/>
        <w:bottom w:val="none" w:sz="0" w:space="0" w:color="auto"/>
        <w:right w:val="none" w:sz="0" w:space="0" w:color="auto"/>
      </w:divBdr>
    </w:div>
    <w:div w:id="1927380571">
      <w:bodyDiv w:val="1"/>
      <w:marLeft w:val="0"/>
      <w:marRight w:val="0"/>
      <w:marTop w:val="0"/>
      <w:marBottom w:val="0"/>
      <w:divBdr>
        <w:top w:val="none" w:sz="0" w:space="0" w:color="auto"/>
        <w:left w:val="none" w:sz="0" w:space="0" w:color="auto"/>
        <w:bottom w:val="none" w:sz="0" w:space="0" w:color="auto"/>
        <w:right w:val="none" w:sz="0" w:space="0" w:color="auto"/>
      </w:divBdr>
    </w:div>
    <w:div w:id="1939292229">
      <w:bodyDiv w:val="1"/>
      <w:marLeft w:val="0"/>
      <w:marRight w:val="0"/>
      <w:marTop w:val="0"/>
      <w:marBottom w:val="0"/>
      <w:divBdr>
        <w:top w:val="none" w:sz="0" w:space="0" w:color="auto"/>
        <w:left w:val="none" w:sz="0" w:space="0" w:color="auto"/>
        <w:bottom w:val="none" w:sz="0" w:space="0" w:color="auto"/>
        <w:right w:val="none" w:sz="0" w:space="0" w:color="auto"/>
      </w:divBdr>
    </w:div>
    <w:div w:id="1947343889">
      <w:bodyDiv w:val="1"/>
      <w:marLeft w:val="0"/>
      <w:marRight w:val="0"/>
      <w:marTop w:val="0"/>
      <w:marBottom w:val="0"/>
      <w:divBdr>
        <w:top w:val="none" w:sz="0" w:space="0" w:color="auto"/>
        <w:left w:val="none" w:sz="0" w:space="0" w:color="auto"/>
        <w:bottom w:val="none" w:sz="0" w:space="0" w:color="auto"/>
        <w:right w:val="none" w:sz="0" w:space="0" w:color="auto"/>
      </w:divBdr>
    </w:div>
    <w:div w:id="1964268244">
      <w:bodyDiv w:val="1"/>
      <w:marLeft w:val="0"/>
      <w:marRight w:val="0"/>
      <w:marTop w:val="0"/>
      <w:marBottom w:val="0"/>
      <w:divBdr>
        <w:top w:val="none" w:sz="0" w:space="0" w:color="auto"/>
        <w:left w:val="none" w:sz="0" w:space="0" w:color="auto"/>
        <w:bottom w:val="none" w:sz="0" w:space="0" w:color="auto"/>
        <w:right w:val="none" w:sz="0" w:space="0" w:color="auto"/>
      </w:divBdr>
    </w:div>
    <w:div w:id="1966689113">
      <w:bodyDiv w:val="1"/>
      <w:marLeft w:val="0"/>
      <w:marRight w:val="0"/>
      <w:marTop w:val="0"/>
      <w:marBottom w:val="0"/>
      <w:divBdr>
        <w:top w:val="none" w:sz="0" w:space="0" w:color="auto"/>
        <w:left w:val="none" w:sz="0" w:space="0" w:color="auto"/>
        <w:bottom w:val="none" w:sz="0" w:space="0" w:color="auto"/>
        <w:right w:val="none" w:sz="0" w:space="0" w:color="auto"/>
      </w:divBdr>
    </w:div>
    <w:div w:id="1980302281">
      <w:bodyDiv w:val="1"/>
      <w:marLeft w:val="0"/>
      <w:marRight w:val="0"/>
      <w:marTop w:val="0"/>
      <w:marBottom w:val="0"/>
      <w:divBdr>
        <w:top w:val="none" w:sz="0" w:space="0" w:color="auto"/>
        <w:left w:val="none" w:sz="0" w:space="0" w:color="auto"/>
        <w:bottom w:val="none" w:sz="0" w:space="0" w:color="auto"/>
        <w:right w:val="none" w:sz="0" w:space="0" w:color="auto"/>
      </w:divBdr>
    </w:div>
    <w:div w:id="1986201226">
      <w:bodyDiv w:val="1"/>
      <w:marLeft w:val="0"/>
      <w:marRight w:val="0"/>
      <w:marTop w:val="0"/>
      <w:marBottom w:val="0"/>
      <w:divBdr>
        <w:top w:val="none" w:sz="0" w:space="0" w:color="auto"/>
        <w:left w:val="none" w:sz="0" w:space="0" w:color="auto"/>
        <w:bottom w:val="none" w:sz="0" w:space="0" w:color="auto"/>
        <w:right w:val="none" w:sz="0" w:space="0" w:color="auto"/>
      </w:divBdr>
    </w:div>
    <w:div w:id="2022275693">
      <w:bodyDiv w:val="1"/>
      <w:marLeft w:val="0"/>
      <w:marRight w:val="0"/>
      <w:marTop w:val="0"/>
      <w:marBottom w:val="0"/>
      <w:divBdr>
        <w:top w:val="none" w:sz="0" w:space="0" w:color="auto"/>
        <w:left w:val="none" w:sz="0" w:space="0" w:color="auto"/>
        <w:bottom w:val="none" w:sz="0" w:space="0" w:color="auto"/>
        <w:right w:val="none" w:sz="0" w:space="0" w:color="auto"/>
      </w:divBdr>
    </w:div>
    <w:div w:id="2035498148">
      <w:bodyDiv w:val="1"/>
      <w:marLeft w:val="0"/>
      <w:marRight w:val="0"/>
      <w:marTop w:val="0"/>
      <w:marBottom w:val="0"/>
      <w:divBdr>
        <w:top w:val="none" w:sz="0" w:space="0" w:color="auto"/>
        <w:left w:val="none" w:sz="0" w:space="0" w:color="auto"/>
        <w:bottom w:val="none" w:sz="0" w:space="0" w:color="auto"/>
        <w:right w:val="none" w:sz="0" w:space="0" w:color="auto"/>
      </w:divBdr>
    </w:div>
    <w:div w:id="2045278482">
      <w:bodyDiv w:val="1"/>
      <w:marLeft w:val="0"/>
      <w:marRight w:val="0"/>
      <w:marTop w:val="0"/>
      <w:marBottom w:val="0"/>
      <w:divBdr>
        <w:top w:val="none" w:sz="0" w:space="0" w:color="auto"/>
        <w:left w:val="none" w:sz="0" w:space="0" w:color="auto"/>
        <w:bottom w:val="none" w:sz="0" w:space="0" w:color="auto"/>
        <w:right w:val="none" w:sz="0" w:space="0" w:color="auto"/>
      </w:divBdr>
    </w:div>
    <w:div w:id="212402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7FBD-BDF9-4184-A8C1-CD07447B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977</Words>
  <Characters>5571</Characters>
  <Application>Microsoft Office Word</Application>
  <DocSecurity>0</DocSecurity>
  <Lines>46</Lines>
  <Paragraphs>13</Paragraphs>
  <ScaleCrop>false</ScaleCrop>
  <Company>Lenovo</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李治儒</cp:lastModifiedBy>
  <cp:revision>2</cp:revision>
  <cp:lastPrinted>2015-11-05T07:02:00Z</cp:lastPrinted>
  <dcterms:created xsi:type="dcterms:W3CDTF">2016-05-26T07:11:00Z</dcterms:created>
  <dcterms:modified xsi:type="dcterms:W3CDTF">2016-05-26T07:11:00Z</dcterms:modified>
</cp:coreProperties>
</file>